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F578F" w14:textId="5F61E407" w:rsidR="006410B2" w:rsidRPr="00CC12BE" w:rsidRDefault="006410B2" w:rsidP="00D02020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C12BE">
        <w:rPr>
          <w:rFonts w:ascii="Times New Roman" w:hAnsi="Times New Roman" w:cs="Times New Roman"/>
        </w:rPr>
        <w:t>Titre :</w:t>
      </w:r>
      <w:r w:rsidR="009F628E" w:rsidRPr="00CC12BE">
        <w:rPr>
          <w:rFonts w:ascii="Times New Roman" w:hAnsi="Times New Roman" w:cs="Times New Roman"/>
        </w:rPr>
        <w:t xml:space="preserve"> </w:t>
      </w:r>
      <w:r w:rsidR="009F628E" w:rsidRPr="00CC12BE">
        <w:rPr>
          <w:rFonts w:ascii="Times New Roman" w:hAnsi="Times New Roman" w:cs="Times New Roman"/>
          <w:b/>
        </w:rPr>
        <w:t>Entre ergonomie</w:t>
      </w:r>
      <w:r w:rsidR="00D02020" w:rsidRPr="00CC12BE">
        <w:rPr>
          <w:rFonts w:ascii="Times New Roman" w:hAnsi="Times New Roman" w:cs="Times New Roman"/>
          <w:b/>
        </w:rPr>
        <w:t xml:space="preserve"> de l’activité</w:t>
      </w:r>
      <w:r w:rsidR="009F628E" w:rsidRPr="00CC12BE">
        <w:rPr>
          <w:rFonts w:ascii="Times New Roman" w:hAnsi="Times New Roman" w:cs="Times New Roman"/>
          <w:b/>
        </w:rPr>
        <w:t xml:space="preserve"> et didactique, une analyse comparée des pratiques d’enseignants débutants en éducation musicale et arts plastiques.</w:t>
      </w:r>
    </w:p>
    <w:p w14:paraId="2A7E6E36" w14:textId="77777777" w:rsidR="006410B2" w:rsidRPr="00CC12BE" w:rsidRDefault="006410B2" w:rsidP="00D02020">
      <w:pPr>
        <w:spacing w:after="0"/>
        <w:jc w:val="both"/>
        <w:rPr>
          <w:rFonts w:ascii="Times New Roman" w:hAnsi="Times New Roman" w:cs="Times New Roman"/>
          <w:b/>
        </w:rPr>
      </w:pPr>
    </w:p>
    <w:p w14:paraId="06163972" w14:textId="77777777" w:rsidR="00BD2628" w:rsidRDefault="00D02020" w:rsidP="004D1A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>La difficulté</w:t>
      </w:r>
      <w:r w:rsidR="0082584E">
        <w:rPr>
          <w:rFonts w:ascii="Times New Roman" w:hAnsi="Times New Roman" w:cs="Times New Roman"/>
        </w:rPr>
        <w:t xml:space="preserve"> à prendre en compte</w:t>
      </w:r>
      <w:r w:rsidR="0082584E" w:rsidRPr="00CC12BE">
        <w:rPr>
          <w:rFonts w:ascii="Times New Roman" w:hAnsi="Times New Roman" w:cs="Times New Roman"/>
        </w:rPr>
        <w:t xml:space="preserve">, d’une part, </w:t>
      </w:r>
      <w:r w:rsidRPr="00CC12BE">
        <w:rPr>
          <w:rFonts w:ascii="Times New Roman" w:hAnsi="Times New Roman" w:cs="Times New Roman"/>
        </w:rPr>
        <w:t>le rapport au « terrain » et à l’expérience professionnelle dans la recherche en Sciences de l’Education, et d’autre part, celle</w:t>
      </w:r>
      <w:r w:rsidRPr="00CC12BE">
        <w:rPr>
          <w:rFonts w:ascii="Times New Roman" w:hAnsi="Times New Roman" w:cs="Times New Roman"/>
          <w:color w:val="FF0000"/>
        </w:rPr>
        <w:t xml:space="preserve"> </w:t>
      </w:r>
      <w:r w:rsidRPr="00CC12BE">
        <w:rPr>
          <w:rFonts w:ascii="Times New Roman" w:hAnsi="Times New Roman" w:cs="Times New Roman"/>
        </w:rPr>
        <w:t xml:space="preserve">d’articuler ses résultats à la conception des contenus et des scénarios de formation fondent nos préoccupations de chercheurs. Ancrée dans </w:t>
      </w:r>
      <w:r w:rsidR="0082584E" w:rsidRPr="00CC12BE">
        <w:rPr>
          <w:rFonts w:ascii="Times New Roman" w:hAnsi="Times New Roman" w:cs="Times New Roman"/>
        </w:rPr>
        <w:t>la didactique des disciplines</w:t>
      </w:r>
      <w:r w:rsidR="0082584E">
        <w:rPr>
          <w:rFonts w:ascii="Times New Roman" w:hAnsi="Times New Roman" w:cs="Times New Roman"/>
        </w:rPr>
        <w:t>,</w:t>
      </w:r>
      <w:r w:rsidRPr="00CC12BE">
        <w:rPr>
          <w:rFonts w:ascii="Times New Roman" w:hAnsi="Times New Roman" w:cs="Times New Roman"/>
        </w:rPr>
        <w:t xml:space="preserve"> </w:t>
      </w:r>
      <w:r w:rsidR="0082584E">
        <w:rPr>
          <w:rFonts w:ascii="Times New Roman" w:hAnsi="Times New Roman" w:cs="Times New Roman"/>
        </w:rPr>
        <w:t>pour l’un</w:t>
      </w:r>
      <w:r w:rsidR="004D1A2E" w:rsidRPr="00CC12BE">
        <w:rPr>
          <w:rFonts w:ascii="Times New Roman" w:hAnsi="Times New Roman" w:cs="Times New Roman"/>
        </w:rPr>
        <w:t>,</w:t>
      </w:r>
      <w:r w:rsidRPr="00CC12BE">
        <w:rPr>
          <w:rFonts w:ascii="Times New Roman" w:hAnsi="Times New Roman" w:cs="Times New Roman"/>
        </w:rPr>
        <w:t xml:space="preserve"> et </w:t>
      </w:r>
      <w:r w:rsidR="00F17F7F">
        <w:rPr>
          <w:rFonts w:ascii="Times New Roman" w:hAnsi="Times New Roman" w:cs="Times New Roman"/>
        </w:rPr>
        <w:t xml:space="preserve">dans </w:t>
      </w:r>
      <w:r w:rsidR="0082584E" w:rsidRPr="00CC12BE">
        <w:rPr>
          <w:rFonts w:ascii="Times New Roman" w:hAnsi="Times New Roman" w:cs="Times New Roman"/>
        </w:rPr>
        <w:t>une tradition d’analyse ergonomique de l’activité,</w:t>
      </w:r>
      <w:r w:rsidRPr="00CC12BE">
        <w:rPr>
          <w:rFonts w:ascii="Times New Roman" w:hAnsi="Times New Roman" w:cs="Times New Roman"/>
        </w:rPr>
        <w:t xml:space="preserve"> </w:t>
      </w:r>
      <w:r w:rsidR="0082584E">
        <w:rPr>
          <w:rFonts w:ascii="Times New Roman" w:hAnsi="Times New Roman" w:cs="Times New Roman"/>
        </w:rPr>
        <w:t>pour l’autre</w:t>
      </w:r>
      <w:r w:rsidRPr="00CC12BE">
        <w:rPr>
          <w:rFonts w:ascii="Times New Roman" w:hAnsi="Times New Roman" w:cs="Times New Roman"/>
        </w:rPr>
        <w:t xml:space="preserve">, notre démarche propose un cadre pour reconnaître le travail et ses difficultés, </w:t>
      </w:r>
      <w:r w:rsidR="0082584E" w:rsidRPr="00CC12BE">
        <w:rPr>
          <w:rFonts w:ascii="Times New Roman" w:hAnsi="Times New Roman" w:cs="Times New Roman"/>
        </w:rPr>
        <w:t>qu</w:t>
      </w:r>
      <w:r w:rsidR="0082584E">
        <w:rPr>
          <w:rFonts w:ascii="Times New Roman" w:hAnsi="Times New Roman" w:cs="Times New Roman"/>
        </w:rPr>
        <w:t>i</w:t>
      </w:r>
      <w:r w:rsidR="0082584E" w:rsidRPr="00CC12BE">
        <w:rPr>
          <w:rFonts w:ascii="Times New Roman" w:hAnsi="Times New Roman" w:cs="Times New Roman"/>
        </w:rPr>
        <w:t xml:space="preserve"> permette de comprendre « ce que les individus font dans les lieux (des institutions où l’on enseigne et où l’on apprend » (</w:t>
      </w:r>
      <w:proofErr w:type="spellStart"/>
      <w:r w:rsidR="0082584E" w:rsidRPr="00CC12BE">
        <w:rPr>
          <w:rFonts w:ascii="Times New Roman" w:hAnsi="Times New Roman" w:cs="Times New Roman"/>
        </w:rPr>
        <w:t>Sensevy</w:t>
      </w:r>
      <w:proofErr w:type="spellEnd"/>
      <w:r w:rsidR="0082584E" w:rsidRPr="00CC12BE">
        <w:rPr>
          <w:rFonts w:ascii="Times New Roman" w:hAnsi="Times New Roman" w:cs="Times New Roman"/>
        </w:rPr>
        <w:t>, 2007</w:t>
      </w:r>
      <w:r w:rsidR="0082584E">
        <w:rPr>
          <w:rFonts w:ascii="Times New Roman" w:hAnsi="Times New Roman" w:cs="Times New Roman"/>
        </w:rPr>
        <w:t xml:space="preserve">) </w:t>
      </w:r>
      <w:r w:rsidRPr="00CC12BE">
        <w:rPr>
          <w:rFonts w:ascii="Times New Roman" w:hAnsi="Times New Roman" w:cs="Times New Roman"/>
        </w:rPr>
        <w:t xml:space="preserve">afin qu’il puisse « redevenir un objet de pensée pour les intéressés qui en formulent la demande » (Clot et </w:t>
      </w:r>
      <w:proofErr w:type="spellStart"/>
      <w:r w:rsidRPr="00CC12BE">
        <w:rPr>
          <w:rFonts w:ascii="Times New Roman" w:hAnsi="Times New Roman" w:cs="Times New Roman"/>
        </w:rPr>
        <w:t>Faïta</w:t>
      </w:r>
      <w:proofErr w:type="spellEnd"/>
      <w:r w:rsidRPr="00CC12BE">
        <w:rPr>
          <w:rFonts w:ascii="Times New Roman" w:hAnsi="Times New Roman" w:cs="Times New Roman"/>
        </w:rPr>
        <w:t xml:space="preserve">, 2000). </w:t>
      </w:r>
      <w:r w:rsidR="0082584E">
        <w:rPr>
          <w:rFonts w:ascii="Times New Roman" w:hAnsi="Times New Roman" w:cs="Times New Roman"/>
        </w:rPr>
        <w:t>Notre étude se propose de rendre compte de résultats obtenus après l’observation de</w:t>
      </w:r>
      <w:r w:rsidR="00403476" w:rsidRPr="00CC12BE">
        <w:rPr>
          <w:rFonts w:ascii="Times New Roman" w:hAnsi="Times New Roman" w:cs="Times New Roman"/>
        </w:rPr>
        <w:t xml:space="preserve"> deux situations d’enseignement filmées menées par des professeurs débutants, l’un en arts</w:t>
      </w:r>
      <w:r w:rsidR="003A77CC" w:rsidRPr="00CC12BE">
        <w:rPr>
          <w:rFonts w:ascii="Times New Roman" w:hAnsi="Times New Roman" w:cs="Times New Roman"/>
        </w:rPr>
        <w:t xml:space="preserve"> plastiques, l’autre en </w:t>
      </w:r>
      <w:r w:rsidR="00E60CEA">
        <w:rPr>
          <w:rFonts w:ascii="Times New Roman" w:hAnsi="Times New Roman" w:cs="Times New Roman"/>
        </w:rPr>
        <w:t>éducation musicale et chant choral</w:t>
      </w:r>
      <w:r w:rsidR="00403476" w:rsidRPr="00CC12BE">
        <w:rPr>
          <w:rFonts w:ascii="Times New Roman" w:hAnsi="Times New Roman" w:cs="Times New Roman"/>
        </w:rPr>
        <w:t xml:space="preserve">. </w:t>
      </w:r>
      <w:r w:rsidR="00F17F7F" w:rsidRPr="00CC12BE">
        <w:rPr>
          <w:rFonts w:ascii="Times New Roman" w:hAnsi="Times New Roman" w:cs="Times New Roman"/>
        </w:rPr>
        <w:t xml:space="preserve">Comment se noue l’enchevêtrement des </w:t>
      </w:r>
      <w:r w:rsidR="00F17F7F" w:rsidRPr="00CC12BE">
        <w:rPr>
          <w:rFonts w:ascii="Times New Roman" w:hAnsi="Times New Roman" w:cs="Times New Roman"/>
          <w:bCs/>
        </w:rPr>
        <w:t xml:space="preserve">enjeux didactiques et des enjeux ergonomiques </w:t>
      </w:r>
      <w:r w:rsidR="00F17F7F" w:rsidRPr="00CC12BE">
        <w:rPr>
          <w:rFonts w:ascii="Times New Roman" w:hAnsi="Times New Roman" w:cs="Times New Roman"/>
        </w:rPr>
        <w:t>quand les professeurs « font avec » les prescriptions et les enjeux de savoirs disciplinaires ?</w:t>
      </w:r>
      <w:r w:rsidR="00F17F7F">
        <w:rPr>
          <w:rFonts w:ascii="Times New Roman" w:hAnsi="Times New Roman" w:cs="Times New Roman"/>
        </w:rPr>
        <w:t xml:space="preserve"> </w:t>
      </w:r>
    </w:p>
    <w:p w14:paraId="0B176557" w14:textId="14C8A191" w:rsidR="00403476" w:rsidRPr="00CC12BE" w:rsidRDefault="00403476" w:rsidP="004D1A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Nous </w:t>
      </w:r>
      <w:r w:rsidR="0082584E">
        <w:rPr>
          <w:rFonts w:ascii="Times New Roman" w:hAnsi="Times New Roman" w:cs="Times New Roman"/>
        </w:rPr>
        <w:t xml:space="preserve">avons choisi </w:t>
      </w:r>
      <w:r w:rsidR="0097273E" w:rsidRPr="00CC12BE">
        <w:rPr>
          <w:rFonts w:ascii="Times New Roman" w:hAnsi="Times New Roman" w:cs="Times New Roman"/>
        </w:rPr>
        <w:t>divers</w:t>
      </w:r>
      <w:r w:rsidRPr="00CC12BE">
        <w:rPr>
          <w:rFonts w:ascii="Times New Roman" w:hAnsi="Times New Roman" w:cs="Times New Roman"/>
        </w:rPr>
        <w:t xml:space="preserve"> niveaux d’analyse</w:t>
      </w:r>
      <w:r w:rsidR="0097273E"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hAnsi="Times New Roman" w:cs="Times New Roman"/>
        </w:rPr>
        <w:t xml:space="preserve">: </w:t>
      </w:r>
      <w:r w:rsidR="0097273E" w:rsidRPr="00CC12BE">
        <w:rPr>
          <w:rFonts w:ascii="Times New Roman" w:hAnsi="Times New Roman" w:cs="Times New Roman"/>
        </w:rPr>
        <w:t>ce que l’on voit</w:t>
      </w:r>
      <w:r w:rsidRPr="00CC12BE">
        <w:rPr>
          <w:rFonts w:ascii="Times New Roman" w:hAnsi="Times New Roman" w:cs="Times New Roman"/>
        </w:rPr>
        <w:t>, ce que l’on sait</w:t>
      </w:r>
      <w:r w:rsidR="00F17F7F">
        <w:rPr>
          <w:rFonts w:ascii="Times New Roman" w:hAnsi="Times New Roman" w:cs="Times New Roman"/>
        </w:rPr>
        <w:t xml:space="preserve">, </w:t>
      </w:r>
      <w:r w:rsidRPr="00CC12BE">
        <w:rPr>
          <w:rFonts w:ascii="Times New Roman" w:hAnsi="Times New Roman" w:cs="Times New Roman"/>
        </w:rPr>
        <w:t>soit la référence aux programmes d’enseignement</w:t>
      </w:r>
      <w:r w:rsidR="00E60CEA">
        <w:rPr>
          <w:rFonts w:ascii="Times New Roman" w:hAnsi="Times New Roman" w:cs="Times New Roman"/>
        </w:rPr>
        <w:t> ;</w:t>
      </w:r>
      <w:r w:rsidRPr="00CC12BE">
        <w:rPr>
          <w:rFonts w:ascii="Times New Roman" w:hAnsi="Times New Roman" w:cs="Times New Roman"/>
        </w:rPr>
        <w:t xml:space="preserve"> </w:t>
      </w:r>
      <w:r w:rsidR="00E60CEA">
        <w:rPr>
          <w:rFonts w:ascii="Times New Roman" w:hAnsi="Times New Roman" w:cs="Times New Roman"/>
        </w:rPr>
        <w:t xml:space="preserve">le(s) jeu(x) didactique(s) </w:t>
      </w:r>
      <w:r w:rsidR="00677460" w:rsidRPr="00CC12BE">
        <w:rPr>
          <w:rFonts w:ascii="Times New Roman" w:hAnsi="Times New Roman" w:cs="Times New Roman"/>
        </w:rPr>
        <w:t xml:space="preserve">selon la théorie de l’action conjointe </w:t>
      </w:r>
      <w:r w:rsidR="00BD2628">
        <w:rPr>
          <w:rFonts w:ascii="Times New Roman" w:hAnsi="Times New Roman" w:cs="Times New Roman"/>
        </w:rPr>
        <w:t xml:space="preserve">en </w:t>
      </w:r>
      <w:r w:rsidR="00677460" w:rsidRPr="00CC12BE">
        <w:rPr>
          <w:rFonts w:ascii="Times New Roman" w:hAnsi="Times New Roman" w:cs="Times New Roman"/>
        </w:rPr>
        <w:t>didactique</w:t>
      </w:r>
      <w:r w:rsidR="0097273E" w:rsidRPr="00CC12BE">
        <w:rPr>
          <w:rFonts w:ascii="Times New Roman" w:hAnsi="Times New Roman" w:cs="Times New Roman"/>
        </w:rPr>
        <w:t> ;</w:t>
      </w:r>
      <w:r w:rsidR="00F17F7F">
        <w:rPr>
          <w:rFonts w:ascii="Times New Roman" w:hAnsi="Times New Roman" w:cs="Times New Roman"/>
        </w:rPr>
        <w:t xml:space="preserve"> enfin, </w:t>
      </w:r>
      <w:r w:rsidRPr="00CC12BE">
        <w:rPr>
          <w:rFonts w:ascii="Times New Roman" w:hAnsi="Times New Roman" w:cs="Times New Roman"/>
        </w:rPr>
        <w:t>ce que l’on apprend de l’acti</w:t>
      </w:r>
      <w:r w:rsidR="00F17F7F">
        <w:rPr>
          <w:rFonts w:ascii="Times New Roman" w:hAnsi="Times New Roman" w:cs="Times New Roman"/>
        </w:rPr>
        <w:t>vité individuelle et collective,</w:t>
      </w:r>
      <w:r w:rsidRPr="00CC12BE">
        <w:rPr>
          <w:rFonts w:ascii="Times New Roman" w:hAnsi="Times New Roman" w:cs="Times New Roman"/>
        </w:rPr>
        <w:t xml:space="preserve"> avec le concours des acteurs en adoptant le cadre de l’analyse ergonomique de l’activité. </w:t>
      </w:r>
    </w:p>
    <w:p w14:paraId="4A86A238" w14:textId="421142D7" w:rsidR="0081609B" w:rsidRPr="00CC12BE" w:rsidRDefault="0082584E" w:rsidP="004D1A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perspective d’une</w:t>
      </w:r>
      <w:r w:rsidR="0081609B" w:rsidRPr="00CC12BE">
        <w:rPr>
          <w:rFonts w:ascii="Times New Roman" w:hAnsi="Times New Roman" w:cs="Times New Roman"/>
        </w:rPr>
        <w:t xml:space="preserve"> approche historico-culturelle de l’activité devrait nous permettre de considérer la dimension physique et corporelle à l’aune de ce que véhicule l’histoire du métier </w:t>
      </w:r>
      <w:r w:rsidR="00BD2628">
        <w:rPr>
          <w:rFonts w:ascii="Times New Roman" w:hAnsi="Times New Roman" w:cs="Times New Roman"/>
        </w:rPr>
        <w:t>d’</w:t>
      </w:r>
      <w:r w:rsidR="0081609B" w:rsidRPr="00CC12BE">
        <w:rPr>
          <w:rFonts w:ascii="Times New Roman" w:hAnsi="Times New Roman" w:cs="Times New Roman"/>
        </w:rPr>
        <w:t>enseignant, et comment celui-ci la réactualise en regard des nouvelles contraintes de travail.</w:t>
      </w:r>
    </w:p>
    <w:p w14:paraId="39514AE7" w14:textId="0B5ABE2E" w:rsidR="0081609B" w:rsidRPr="00CC12BE" w:rsidRDefault="0081609B" w:rsidP="004D1A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Nous </w:t>
      </w:r>
      <w:r w:rsidR="0082584E">
        <w:rPr>
          <w:rFonts w:ascii="Times New Roman" w:hAnsi="Times New Roman" w:cs="Times New Roman"/>
        </w:rPr>
        <w:t>étudions</w:t>
      </w:r>
      <w:r w:rsidRPr="00CC12BE">
        <w:rPr>
          <w:rFonts w:ascii="Times New Roman" w:hAnsi="Times New Roman" w:cs="Times New Roman"/>
        </w:rPr>
        <w:t xml:space="preserve"> cette question en mobilisant les cadres théorique et méthodologique de l’ergonomie de l’activité enseignante</w:t>
      </w:r>
      <w:r w:rsidR="00F17F7F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hAnsi="Times New Roman" w:cs="Times New Roman"/>
        </w:rPr>
        <w:t>(</w:t>
      </w:r>
      <w:proofErr w:type="spellStart"/>
      <w:r w:rsidRPr="00CC12BE">
        <w:rPr>
          <w:rFonts w:ascii="Times New Roman" w:hAnsi="Times New Roman" w:cs="Times New Roman"/>
        </w:rPr>
        <w:t>A</w:t>
      </w:r>
      <w:r w:rsidR="00F17F7F">
        <w:rPr>
          <w:rFonts w:ascii="Times New Roman" w:hAnsi="Times New Roman" w:cs="Times New Roman"/>
        </w:rPr>
        <w:t>migues</w:t>
      </w:r>
      <w:proofErr w:type="spellEnd"/>
      <w:r w:rsidR="00F17F7F">
        <w:rPr>
          <w:rFonts w:ascii="Times New Roman" w:hAnsi="Times New Roman" w:cs="Times New Roman"/>
        </w:rPr>
        <w:t xml:space="preserve">, </w:t>
      </w:r>
      <w:proofErr w:type="spellStart"/>
      <w:r w:rsidR="00F17F7F">
        <w:rPr>
          <w:rFonts w:ascii="Times New Roman" w:hAnsi="Times New Roman" w:cs="Times New Roman"/>
        </w:rPr>
        <w:t>Faïta</w:t>
      </w:r>
      <w:proofErr w:type="spellEnd"/>
      <w:r w:rsidR="00F17F7F">
        <w:rPr>
          <w:rFonts w:ascii="Times New Roman" w:hAnsi="Times New Roman" w:cs="Times New Roman"/>
        </w:rPr>
        <w:t xml:space="preserve"> et </w:t>
      </w:r>
      <w:proofErr w:type="spellStart"/>
      <w:r w:rsidR="00F17F7F">
        <w:rPr>
          <w:rFonts w:ascii="Times New Roman" w:hAnsi="Times New Roman" w:cs="Times New Roman"/>
        </w:rPr>
        <w:t>Saujat</w:t>
      </w:r>
      <w:proofErr w:type="spellEnd"/>
      <w:r w:rsidR="00F17F7F">
        <w:rPr>
          <w:rFonts w:ascii="Times New Roman" w:hAnsi="Times New Roman" w:cs="Times New Roman"/>
        </w:rPr>
        <w:t>, 2004). D</w:t>
      </w:r>
      <w:r w:rsidRPr="00CC12BE">
        <w:rPr>
          <w:rFonts w:ascii="Times New Roman" w:hAnsi="Times New Roman" w:cs="Times New Roman"/>
        </w:rPr>
        <w:t xml:space="preserve">ans cette perspective, nous visons à la fois à susciter le développement de l’expérience professionnelle d’enseignants débutants et à rendre compte </w:t>
      </w:r>
      <w:r w:rsidR="00F17F7F">
        <w:rPr>
          <w:rFonts w:ascii="Times New Roman" w:hAnsi="Times New Roman" w:cs="Times New Roman"/>
        </w:rPr>
        <w:t>de ce qu’il provoque</w:t>
      </w:r>
      <w:r w:rsidRPr="00CC12BE">
        <w:rPr>
          <w:rFonts w:ascii="Times New Roman" w:hAnsi="Times New Roman" w:cs="Times New Roman"/>
        </w:rPr>
        <w:t>. Nous confronterons cette approche à celle utilisée par la théorie de l’action conjointe en didactique (</w:t>
      </w:r>
      <w:proofErr w:type="spellStart"/>
      <w:r w:rsidRPr="00CC12BE">
        <w:rPr>
          <w:rFonts w:ascii="Times New Roman" w:hAnsi="Times New Roman" w:cs="Times New Roman"/>
          <w:color w:val="333333"/>
          <w:shd w:val="clear" w:color="auto" w:fill="FFFFFF"/>
        </w:rPr>
        <w:t>Sensevy</w:t>
      </w:r>
      <w:proofErr w:type="spellEnd"/>
      <w:r w:rsidRPr="00CC12BE">
        <w:rPr>
          <w:rFonts w:ascii="Times New Roman" w:hAnsi="Times New Roman" w:cs="Times New Roman"/>
          <w:color w:val="333333"/>
          <w:shd w:val="clear" w:color="auto" w:fill="FFFFFF"/>
        </w:rPr>
        <w:t xml:space="preserve">, Mercier, 2007a ; </w:t>
      </w:r>
      <w:proofErr w:type="spellStart"/>
      <w:r w:rsidRPr="00CC12BE">
        <w:rPr>
          <w:rFonts w:ascii="Times New Roman" w:hAnsi="Times New Roman" w:cs="Times New Roman"/>
          <w:color w:val="333333"/>
          <w:shd w:val="clear" w:color="auto" w:fill="FFFFFF"/>
        </w:rPr>
        <w:t>Schubauer</w:t>
      </w:r>
      <w:proofErr w:type="spellEnd"/>
      <w:r w:rsidRPr="00CC12BE">
        <w:rPr>
          <w:rFonts w:ascii="Times New Roman" w:hAnsi="Times New Roman" w:cs="Times New Roman"/>
          <w:color w:val="333333"/>
          <w:shd w:val="clear" w:color="auto" w:fill="FFFFFF"/>
        </w:rPr>
        <w:t>-Leoni</w:t>
      </w:r>
      <w:r w:rsidRPr="00CC12BE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CC12BE">
        <w:rPr>
          <w:rStyle w:val="Accentuation"/>
          <w:rFonts w:ascii="Times New Roman" w:hAnsi="Times New Roman" w:cs="Times New Roman"/>
          <w:color w:val="333333"/>
          <w:shd w:val="clear" w:color="auto" w:fill="FFFFFF"/>
        </w:rPr>
        <w:t xml:space="preserve">et </w:t>
      </w:r>
      <w:proofErr w:type="gramStart"/>
      <w:r w:rsidRPr="00CC12BE">
        <w:rPr>
          <w:rStyle w:val="Accentuation"/>
          <w:rFonts w:ascii="Times New Roman" w:hAnsi="Times New Roman" w:cs="Times New Roman"/>
          <w:color w:val="333333"/>
          <w:shd w:val="clear" w:color="auto" w:fill="FFFFFF"/>
        </w:rPr>
        <w:t>al.</w:t>
      </w:r>
      <w:r w:rsidRPr="00CC12BE">
        <w:rPr>
          <w:rFonts w:ascii="Times New Roman" w:hAnsi="Times New Roman" w:cs="Times New Roman"/>
          <w:color w:val="333333"/>
          <w:shd w:val="clear" w:color="auto" w:fill="FFFFFF"/>
        </w:rPr>
        <w:t>,</w:t>
      </w:r>
      <w:proofErr w:type="gramEnd"/>
      <w:r w:rsidRPr="00CC12BE">
        <w:rPr>
          <w:rFonts w:ascii="Times New Roman" w:hAnsi="Times New Roman" w:cs="Times New Roman"/>
          <w:color w:val="333333"/>
          <w:shd w:val="clear" w:color="auto" w:fill="FFFFFF"/>
        </w:rPr>
        <w:t xml:space="preserve"> 2007a ; 2007b</w:t>
      </w:r>
      <w:r w:rsidR="00BD2628">
        <w:rPr>
          <w:rFonts w:ascii="Times New Roman" w:hAnsi="Times New Roman" w:cs="Times New Roman"/>
          <w:color w:val="333333"/>
          <w:shd w:val="clear" w:color="auto" w:fill="FFFFFF"/>
        </w:rPr>
        <w:t>),</w:t>
      </w:r>
      <w:r w:rsidRPr="00CC12BE">
        <w:rPr>
          <w:rFonts w:ascii="Times New Roman" w:hAnsi="Times New Roman" w:cs="Times New Roman"/>
        </w:rPr>
        <w:t xml:space="preserve"> notamment en regardant les micro-gestes métiers</w:t>
      </w:r>
      <w:r w:rsidR="00E60CEA">
        <w:rPr>
          <w:rFonts w:ascii="Times New Roman" w:hAnsi="Times New Roman" w:cs="Times New Roman"/>
        </w:rPr>
        <w:t xml:space="preserve"> (</w:t>
      </w:r>
      <w:proofErr w:type="spellStart"/>
      <w:r w:rsidR="00E60CEA">
        <w:rPr>
          <w:rFonts w:ascii="Times New Roman" w:hAnsi="Times New Roman" w:cs="Times New Roman"/>
        </w:rPr>
        <w:t>Bucheton</w:t>
      </w:r>
      <w:proofErr w:type="spellEnd"/>
      <w:r w:rsidR="00E60CEA">
        <w:rPr>
          <w:rFonts w:ascii="Times New Roman" w:hAnsi="Times New Roman" w:cs="Times New Roman"/>
        </w:rPr>
        <w:t>, 2009)</w:t>
      </w:r>
      <w:r w:rsidRPr="00CC12BE">
        <w:rPr>
          <w:rFonts w:ascii="Times New Roman" w:hAnsi="Times New Roman" w:cs="Times New Roman"/>
        </w:rPr>
        <w:t xml:space="preserve"> de ces professeurs débutants à l’aune de l’activité située et des jeux didactiques qu’elles occasionnen</w:t>
      </w:r>
      <w:r w:rsidR="00E60CEA">
        <w:rPr>
          <w:rFonts w:ascii="Times New Roman" w:hAnsi="Times New Roman" w:cs="Times New Roman"/>
        </w:rPr>
        <w:t xml:space="preserve">t </w:t>
      </w:r>
      <w:r w:rsidR="00E60CEA" w:rsidRPr="00CC12BE">
        <w:rPr>
          <w:rFonts w:ascii="Times New Roman" w:hAnsi="Times New Roman" w:cs="Times New Roman"/>
        </w:rPr>
        <w:t>(</w:t>
      </w:r>
      <w:proofErr w:type="spellStart"/>
      <w:r w:rsidR="00E60CEA" w:rsidRPr="00CC12BE">
        <w:rPr>
          <w:rFonts w:ascii="Times New Roman" w:hAnsi="Times New Roman" w:cs="Times New Roman"/>
        </w:rPr>
        <w:t>Sensevy</w:t>
      </w:r>
      <w:proofErr w:type="spellEnd"/>
      <w:r w:rsidR="00E60CEA" w:rsidRPr="00CC12BE">
        <w:rPr>
          <w:rFonts w:ascii="Times New Roman" w:hAnsi="Times New Roman" w:cs="Times New Roman"/>
        </w:rPr>
        <w:t>, 2008)</w:t>
      </w:r>
      <w:r w:rsidRPr="00CC12BE">
        <w:rPr>
          <w:rFonts w:ascii="Times New Roman" w:hAnsi="Times New Roman" w:cs="Times New Roman"/>
        </w:rPr>
        <w:t>.</w:t>
      </w:r>
    </w:p>
    <w:p w14:paraId="199B01FF" w14:textId="05D9D702" w:rsidR="00403476" w:rsidRPr="00CC12BE" w:rsidRDefault="007F1D4C" w:rsidP="00D02020">
      <w:pPr>
        <w:spacing w:after="0"/>
        <w:ind w:right="-8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 xml:space="preserve">L’intérêt de mobiliser cette double approche, auprès de disciplines d’enseignement impliquant la pratique artistique au cœur de leur activité, </w:t>
      </w:r>
      <w:r w:rsidR="00E60CEA">
        <w:rPr>
          <w:rFonts w:ascii="Times New Roman" w:hAnsi="Times New Roman" w:cs="Times New Roman"/>
        </w:rPr>
        <w:t>contribue</w:t>
      </w:r>
      <w:r w:rsidRPr="00CC12BE">
        <w:rPr>
          <w:rFonts w:ascii="Times New Roman" w:hAnsi="Times New Roman" w:cs="Times New Roman"/>
        </w:rPr>
        <w:t xml:space="preserve"> à une réactualisation des modes de diffusion des savoi</w:t>
      </w:r>
      <w:r w:rsidR="00BD2628">
        <w:rPr>
          <w:rFonts w:ascii="Times New Roman" w:hAnsi="Times New Roman" w:cs="Times New Roman"/>
        </w:rPr>
        <w:t>rs</w:t>
      </w:r>
      <w:r w:rsidR="00713C84">
        <w:rPr>
          <w:rFonts w:ascii="Times New Roman" w:hAnsi="Times New Roman" w:cs="Times New Roman"/>
        </w:rPr>
        <w:t xml:space="preserve"> scolaires et professionnels. Elle permet aussi de mieux</w:t>
      </w:r>
      <w:r w:rsidRPr="00CC12BE">
        <w:rPr>
          <w:rFonts w:ascii="Times New Roman" w:hAnsi="Times New Roman" w:cs="Times New Roman"/>
        </w:rPr>
        <w:t xml:space="preserve"> cerner la manière dont les professionnels de l’éducation dans les domaines artistiques conçoivent et réalisent leur travail, sur des bases plus efficaces, à la fois pour les élèves et pour eux-mêmes. </w:t>
      </w:r>
    </w:p>
    <w:p w14:paraId="6AA84DDB" w14:textId="1BE96C3C" w:rsidR="00AA392D" w:rsidRPr="00CC12BE" w:rsidRDefault="00403476" w:rsidP="00D02020">
      <w:pPr>
        <w:spacing w:after="0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</w:rPr>
        <w:t>L’ensemble de ce</w:t>
      </w:r>
      <w:r w:rsidR="00677460" w:rsidRPr="00CC12BE">
        <w:rPr>
          <w:rFonts w:ascii="Times New Roman" w:hAnsi="Times New Roman" w:cs="Times New Roman"/>
        </w:rPr>
        <w:t xml:space="preserve">tte </w:t>
      </w:r>
      <w:r w:rsidR="00E26A79" w:rsidRPr="00CC12BE">
        <w:rPr>
          <w:rFonts w:ascii="Times New Roman" w:hAnsi="Times New Roman" w:cs="Times New Roman"/>
        </w:rPr>
        <w:t>recherche</w:t>
      </w:r>
      <w:r w:rsidRPr="00CC12BE">
        <w:rPr>
          <w:rFonts w:ascii="Times New Roman" w:hAnsi="Times New Roman" w:cs="Times New Roman"/>
        </w:rPr>
        <w:t xml:space="preserve"> ouvre une voie originale </w:t>
      </w:r>
      <w:r w:rsidR="00E26A79" w:rsidRPr="00CC12BE">
        <w:rPr>
          <w:rFonts w:ascii="Times New Roman" w:hAnsi="Times New Roman" w:cs="Times New Roman"/>
        </w:rPr>
        <w:t>sur</w:t>
      </w:r>
      <w:r w:rsidRPr="00CC12BE">
        <w:rPr>
          <w:rFonts w:ascii="Times New Roman" w:hAnsi="Times New Roman" w:cs="Times New Roman"/>
        </w:rPr>
        <w:t xml:space="preserve"> l’étude des spécificités disciplinaires de l’activité d’enseignement da</w:t>
      </w:r>
      <w:r w:rsidR="00582B44" w:rsidRPr="00CC12BE">
        <w:rPr>
          <w:rFonts w:ascii="Times New Roman" w:hAnsi="Times New Roman" w:cs="Times New Roman"/>
        </w:rPr>
        <w:t>ns les domaines artistiques</w:t>
      </w:r>
      <w:r w:rsidR="00E26A79" w:rsidRPr="00CC12BE">
        <w:rPr>
          <w:rFonts w:ascii="Times New Roman" w:hAnsi="Times New Roman" w:cs="Times New Roman"/>
        </w:rPr>
        <w:t>,</w:t>
      </w:r>
      <w:r w:rsidRPr="00CC12BE">
        <w:rPr>
          <w:rFonts w:ascii="Times New Roman" w:hAnsi="Times New Roman" w:cs="Times New Roman"/>
        </w:rPr>
        <w:t xml:space="preserve"> </w:t>
      </w:r>
      <w:r w:rsidR="00E26A79" w:rsidRPr="00CC12BE">
        <w:rPr>
          <w:rFonts w:ascii="Times New Roman" w:hAnsi="Times New Roman" w:cs="Times New Roman"/>
        </w:rPr>
        <w:t xml:space="preserve">et </w:t>
      </w:r>
      <w:r w:rsidRPr="00CC12BE">
        <w:rPr>
          <w:rFonts w:ascii="Times New Roman" w:hAnsi="Times New Roman" w:cs="Times New Roman"/>
        </w:rPr>
        <w:t>les aspect</w:t>
      </w:r>
      <w:r w:rsidR="00677460" w:rsidRPr="00CC12BE">
        <w:rPr>
          <w:rFonts w:ascii="Times New Roman" w:hAnsi="Times New Roman" w:cs="Times New Roman"/>
        </w:rPr>
        <w:t>s</w:t>
      </w:r>
      <w:r w:rsidR="00E26A79" w:rsidRPr="00CC12BE">
        <w:rPr>
          <w:rFonts w:ascii="Times New Roman" w:hAnsi="Times New Roman" w:cs="Times New Roman"/>
        </w:rPr>
        <w:t xml:space="preserve"> génériques du métier.</w:t>
      </w:r>
      <w:r w:rsidRPr="00CC12BE">
        <w:rPr>
          <w:rFonts w:ascii="Times New Roman" w:hAnsi="Times New Roman" w:cs="Times New Roman"/>
        </w:rPr>
        <w:t xml:space="preserve"> </w:t>
      </w:r>
    </w:p>
    <w:p w14:paraId="55BFA991" w14:textId="77777777" w:rsidR="003A77CC" w:rsidRPr="00CC12BE" w:rsidRDefault="003A77CC" w:rsidP="00D02020">
      <w:pPr>
        <w:spacing w:after="0"/>
        <w:jc w:val="both"/>
        <w:rPr>
          <w:rFonts w:ascii="Times New Roman" w:hAnsi="Times New Roman" w:cs="Times New Roman"/>
          <w:color w:val="244061" w:themeColor="accent1" w:themeShade="80"/>
        </w:rPr>
      </w:pPr>
    </w:p>
    <w:p w14:paraId="0DEA941C" w14:textId="497D1C57" w:rsidR="006410B2" w:rsidRPr="00CC12BE" w:rsidRDefault="006410B2" w:rsidP="00D020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kern w:val="1"/>
        </w:rPr>
      </w:pPr>
      <w:r w:rsidRPr="00CC12BE">
        <w:rPr>
          <w:rFonts w:ascii="Times New Roman" w:hAnsi="Times New Roman" w:cs="Times New Roman"/>
          <w:b/>
        </w:rPr>
        <w:t>5 mots clé</w:t>
      </w:r>
      <w:r w:rsidR="00CC12BE" w:rsidRPr="00CC12BE">
        <w:rPr>
          <w:rFonts w:ascii="Times New Roman" w:hAnsi="Times New Roman" w:cs="Times New Roman"/>
          <w:b/>
        </w:rPr>
        <w:t>s</w:t>
      </w:r>
      <w:r w:rsidRPr="00CC12BE">
        <w:rPr>
          <w:rFonts w:ascii="Times New Roman" w:hAnsi="Times New Roman" w:cs="Times New Roman"/>
        </w:rPr>
        <w:t> </w:t>
      </w:r>
      <w:r w:rsidRPr="00CC12BE">
        <w:rPr>
          <w:rFonts w:ascii="Times New Roman" w:hAnsi="Times New Roman" w:cs="Times New Roman"/>
          <w:color w:val="244061" w:themeColor="accent1" w:themeShade="80"/>
        </w:rPr>
        <w:t xml:space="preserve">: </w:t>
      </w:r>
      <w:r w:rsidRPr="00CC12BE">
        <w:rPr>
          <w:rFonts w:ascii="Times New Roman" w:eastAsia="Andale Sans UI" w:hAnsi="Times New Roman" w:cs="Times New Roman"/>
          <w:kern w:val="1"/>
        </w:rPr>
        <w:t>analyse de l’activité enseignante, didactique professionnelle, didactique disciplinaire, artefact de formation.</w:t>
      </w:r>
    </w:p>
    <w:p w14:paraId="61A5DA9F" w14:textId="77777777" w:rsidR="00DC7159" w:rsidRPr="00CC12BE" w:rsidRDefault="00DC7159">
      <w:pPr>
        <w:spacing w:after="0"/>
        <w:jc w:val="both"/>
        <w:rPr>
          <w:rFonts w:ascii="Times New Roman" w:hAnsi="Times New Roman" w:cs="Times New Roman"/>
          <w:color w:val="244061" w:themeColor="accent1" w:themeShade="80"/>
        </w:rPr>
      </w:pPr>
    </w:p>
    <w:p w14:paraId="0EC0A256" w14:textId="2D827AC8" w:rsidR="00DC7159" w:rsidRPr="00CC12BE" w:rsidRDefault="00DC7159">
      <w:pPr>
        <w:spacing w:after="0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  <w:b/>
        </w:rPr>
        <w:t>Bibliographie</w:t>
      </w:r>
      <w:r w:rsidRPr="00CC12BE">
        <w:rPr>
          <w:rFonts w:ascii="Times New Roman" w:hAnsi="Times New Roman" w:cs="Times New Roman"/>
        </w:rPr>
        <w:t> :</w:t>
      </w:r>
    </w:p>
    <w:p w14:paraId="5DE29A48" w14:textId="77777777" w:rsidR="00DC7159" w:rsidRPr="00CC12BE" w:rsidRDefault="00DC7159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0F208135" w14:textId="3A28C844" w:rsidR="00DC7159" w:rsidRPr="00CC12BE" w:rsidRDefault="00DC7159">
      <w:pPr>
        <w:spacing w:after="0"/>
        <w:jc w:val="both"/>
        <w:rPr>
          <w:rFonts w:ascii="Times New Roman" w:hAnsi="Times New Roman" w:cs="Times New Roman"/>
        </w:rPr>
      </w:pPr>
      <w:r w:rsidRPr="00CC12BE">
        <w:rPr>
          <w:rFonts w:ascii="Times New Roman" w:hAnsi="Times New Roman" w:cs="Times New Roman"/>
          <w:shd w:val="clear" w:color="auto" w:fill="FFFFFF"/>
        </w:rPr>
        <w:t>Amade-Escot, C.</w:t>
      </w:r>
      <w:r w:rsidR="00CC12BE" w:rsidRPr="00CC12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CC12BE" w:rsidRPr="00CC12BE">
        <w:rPr>
          <w:rFonts w:ascii="Times New Roman" w:hAnsi="Times New Roman" w:cs="Times New Roman"/>
          <w:shd w:val="clear" w:color="auto" w:fill="FFFFFF"/>
        </w:rPr>
        <w:t>Venturini</w:t>
      </w:r>
      <w:proofErr w:type="spellEnd"/>
      <w:r w:rsidR="00CC12BE" w:rsidRPr="00CC12BE">
        <w:rPr>
          <w:rFonts w:ascii="Times New Roman" w:hAnsi="Times New Roman" w:cs="Times New Roman"/>
          <w:shd w:val="clear" w:color="auto" w:fill="FFFFFF"/>
        </w:rPr>
        <w:t xml:space="preserve">, P. </w:t>
      </w:r>
      <w:r w:rsidRPr="00CC12BE">
        <w:rPr>
          <w:rFonts w:ascii="Times New Roman" w:hAnsi="Times New Roman" w:cs="Times New Roman"/>
          <w:shd w:val="clear" w:color="auto" w:fill="FFFFFF"/>
        </w:rPr>
        <w:t>(éd.). Analyse de situations didactique</w:t>
      </w:r>
      <w:r w:rsidR="00CC12BE" w:rsidRPr="00CC12BE">
        <w:rPr>
          <w:rFonts w:ascii="Times New Roman" w:hAnsi="Times New Roman" w:cs="Times New Roman"/>
          <w:shd w:val="clear" w:color="auto" w:fill="FFFFFF"/>
        </w:rPr>
        <w:t>s. Perspectives comparatistes.</w:t>
      </w:r>
      <w:r w:rsidRPr="00CC12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C12BE">
        <w:rPr>
          <w:rStyle w:val="Accentuation"/>
          <w:rFonts w:ascii="Times New Roman" w:hAnsi="Times New Roman" w:cs="Times New Roman"/>
          <w:shd w:val="clear" w:color="auto" w:fill="FFFFFF"/>
        </w:rPr>
        <w:t>Les Dossiers des Sciences de l’éducation</w:t>
      </w:r>
      <w:r w:rsidRPr="00CC12BE">
        <w:rPr>
          <w:rStyle w:val="Accentuation"/>
          <w:rFonts w:ascii="Times New Roman" w:hAnsi="Times New Roman" w:cs="Times New Roman"/>
          <w:i w:val="0"/>
          <w:shd w:val="clear" w:color="auto" w:fill="FFFFFF"/>
        </w:rPr>
        <w:t>, vol. 20.</w:t>
      </w:r>
    </w:p>
    <w:p w14:paraId="01AD1118" w14:textId="77777777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</w:rPr>
      </w:pPr>
    </w:p>
    <w:p w14:paraId="6D097810" w14:textId="419D15C7" w:rsidR="00DC7159" w:rsidRPr="00E60CEA" w:rsidRDefault="00DC7159" w:rsidP="00176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12BE">
        <w:rPr>
          <w:rFonts w:ascii="Times New Roman" w:hAnsi="Times New Roman" w:cs="Times New Roman"/>
        </w:rPr>
        <w:t>Amigues</w:t>
      </w:r>
      <w:proofErr w:type="spellEnd"/>
      <w:r w:rsidRPr="00CC12BE">
        <w:rPr>
          <w:rFonts w:ascii="Times New Roman" w:hAnsi="Times New Roman" w:cs="Times New Roman"/>
        </w:rPr>
        <w:t xml:space="preserve">, R., </w:t>
      </w:r>
      <w:proofErr w:type="spellStart"/>
      <w:r w:rsidRPr="00CC12BE">
        <w:rPr>
          <w:rFonts w:ascii="Times New Roman" w:hAnsi="Times New Roman" w:cs="Times New Roman"/>
        </w:rPr>
        <w:t>Faïta</w:t>
      </w:r>
      <w:proofErr w:type="spellEnd"/>
      <w:r w:rsidRPr="00CC12BE">
        <w:rPr>
          <w:rFonts w:ascii="Times New Roman" w:hAnsi="Times New Roman" w:cs="Times New Roman"/>
        </w:rPr>
        <w:t xml:space="preserve">, D., </w:t>
      </w:r>
      <w:proofErr w:type="spellStart"/>
      <w:r w:rsidRPr="00CC12BE">
        <w:rPr>
          <w:rFonts w:ascii="Times New Roman" w:hAnsi="Times New Roman" w:cs="Times New Roman"/>
        </w:rPr>
        <w:t>Saujat</w:t>
      </w:r>
      <w:proofErr w:type="spellEnd"/>
      <w:r w:rsidRPr="00CC12BE">
        <w:rPr>
          <w:rFonts w:ascii="Times New Roman" w:hAnsi="Times New Roman" w:cs="Times New Roman"/>
        </w:rPr>
        <w:t>, F. (2004). L’</w:t>
      </w:r>
      <w:proofErr w:type="spellStart"/>
      <w:r w:rsidRPr="00CC12BE">
        <w:rPr>
          <w:rFonts w:ascii="Times New Roman" w:hAnsi="Times New Roman" w:cs="Times New Roman"/>
        </w:rPr>
        <w:t>autoconfrontation</w:t>
      </w:r>
      <w:proofErr w:type="spellEnd"/>
      <w:r w:rsidRPr="00CC12BE">
        <w:rPr>
          <w:rFonts w:ascii="Times New Roman" w:hAnsi="Times New Roman" w:cs="Times New Roman"/>
        </w:rPr>
        <w:t xml:space="preserve"> croisée : une méthode pour analyser l’activité enseignante et susciter le développement de l’expérience professionnelle. </w:t>
      </w:r>
      <w:r w:rsidRPr="00CC12BE">
        <w:rPr>
          <w:rFonts w:ascii="Times New Roman" w:hAnsi="Times New Roman" w:cs="Times New Roman"/>
          <w:i/>
        </w:rPr>
        <w:t xml:space="preserve">Bulletin de </w:t>
      </w:r>
      <w:r w:rsidRPr="00E60CEA">
        <w:rPr>
          <w:rFonts w:ascii="Times New Roman" w:hAnsi="Times New Roman" w:cs="Times New Roman"/>
          <w:i/>
        </w:rPr>
        <w:t>psychologie</w:t>
      </w:r>
      <w:r w:rsidRPr="00E60CEA">
        <w:rPr>
          <w:rFonts w:ascii="Times New Roman" w:hAnsi="Times New Roman" w:cs="Times New Roman"/>
        </w:rPr>
        <w:t>, (469), 41-44.</w:t>
      </w:r>
    </w:p>
    <w:p w14:paraId="231390AB" w14:textId="77777777" w:rsidR="00E60CEA" w:rsidRPr="00E60CEA" w:rsidRDefault="00E60CEA" w:rsidP="00176F66">
      <w:pPr>
        <w:spacing w:after="0"/>
        <w:jc w:val="both"/>
        <w:rPr>
          <w:rFonts w:ascii="Times New Roman" w:hAnsi="Times New Roman" w:cs="Times New Roman"/>
        </w:rPr>
      </w:pPr>
    </w:p>
    <w:p w14:paraId="40A1A76B" w14:textId="5F2307FD" w:rsidR="00E60CEA" w:rsidRPr="00E60CEA" w:rsidRDefault="00E60CEA" w:rsidP="00176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60CEA">
        <w:rPr>
          <w:rFonts w:ascii="Times New Roman" w:hAnsi="Times New Roman" w:cs="Times New Roman"/>
          <w:shd w:val="clear" w:color="auto" w:fill="FFFFFF"/>
        </w:rPr>
        <w:t>Bucheton</w:t>
      </w:r>
      <w:proofErr w:type="spellEnd"/>
      <w:r w:rsidRPr="00E60CEA">
        <w:rPr>
          <w:rFonts w:ascii="Times New Roman" w:hAnsi="Times New Roman" w:cs="Times New Roman"/>
          <w:shd w:val="clear" w:color="auto" w:fill="FFFFFF"/>
        </w:rPr>
        <w:t>, D., (</w:t>
      </w:r>
      <w:proofErr w:type="spellStart"/>
      <w:r w:rsidRPr="00E60CEA">
        <w:rPr>
          <w:rFonts w:ascii="Times New Roman" w:hAnsi="Times New Roman" w:cs="Times New Roman"/>
          <w:shd w:val="clear" w:color="auto" w:fill="FFFFFF"/>
        </w:rPr>
        <w:t>dir</w:t>
      </w:r>
      <w:proofErr w:type="spellEnd"/>
      <w:r w:rsidRPr="00E60CEA">
        <w:rPr>
          <w:rFonts w:ascii="Times New Roman" w:hAnsi="Times New Roman" w:cs="Times New Roman"/>
          <w:shd w:val="clear" w:color="auto" w:fill="FFFFFF"/>
        </w:rPr>
        <w:t>) (2009 A).</w:t>
      </w:r>
      <w:r w:rsidRPr="00E60CEA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E60CEA">
        <w:rPr>
          <w:rStyle w:val="Accentuation"/>
          <w:rFonts w:ascii="Times New Roman" w:hAnsi="Times New Roman" w:cs="Times New Roman"/>
          <w:shd w:val="clear" w:color="auto" w:fill="FFFFFF"/>
        </w:rPr>
        <w:t>L’agir enseignant : des gestes professionnels ajustés,</w:t>
      </w:r>
      <w:r w:rsidRPr="00E60CEA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E60CEA">
        <w:rPr>
          <w:rFonts w:ascii="Times New Roman" w:hAnsi="Times New Roman" w:cs="Times New Roman"/>
          <w:shd w:val="clear" w:color="auto" w:fill="FFFFFF"/>
        </w:rPr>
        <w:t>Toulouse 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60CEA">
        <w:rPr>
          <w:rFonts w:ascii="Times New Roman" w:hAnsi="Times New Roman" w:cs="Times New Roman"/>
          <w:shd w:val="clear" w:color="auto" w:fill="FFFFFF"/>
        </w:rPr>
        <w:t>Octares</w:t>
      </w:r>
      <w:proofErr w:type="spellEnd"/>
      <w:r w:rsidRPr="00E60CEA">
        <w:rPr>
          <w:rFonts w:ascii="Times New Roman" w:hAnsi="Times New Roman" w:cs="Times New Roman"/>
          <w:shd w:val="clear" w:color="auto" w:fill="FFFFFF"/>
        </w:rPr>
        <w:t>.</w:t>
      </w:r>
    </w:p>
    <w:p w14:paraId="67756F4D" w14:textId="77777777" w:rsidR="00DC7159" w:rsidRPr="00E60CEA" w:rsidRDefault="00DC7159" w:rsidP="00176F66">
      <w:pPr>
        <w:spacing w:after="0"/>
        <w:jc w:val="both"/>
        <w:rPr>
          <w:rFonts w:ascii="Times New Roman" w:hAnsi="Times New Roman" w:cs="Times New Roman"/>
        </w:rPr>
      </w:pPr>
    </w:p>
    <w:p w14:paraId="1F4FE54A" w14:textId="5C153CC4" w:rsidR="00DC7159" w:rsidRPr="00E60CEA" w:rsidRDefault="00DC7159" w:rsidP="00176F66">
      <w:pPr>
        <w:spacing w:after="0"/>
        <w:jc w:val="both"/>
        <w:rPr>
          <w:rFonts w:ascii="Times New Roman" w:hAnsi="Times New Roman" w:cs="Times New Roman"/>
        </w:rPr>
      </w:pPr>
      <w:r w:rsidRPr="00E60CEA">
        <w:rPr>
          <w:rFonts w:ascii="Times New Roman" w:hAnsi="Times New Roman" w:cs="Times New Roman"/>
        </w:rPr>
        <w:t xml:space="preserve">Clot Y. </w:t>
      </w:r>
      <w:proofErr w:type="spellStart"/>
      <w:r w:rsidRPr="00E60CEA">
        <w:rPr>
          <w:rFonts w:ascii="Times New Roman" w:hAnsi="Times New Roman" w:cs="Times New Roman"/>
        </w:rPr>
        <w:t>Faïta</w:t>
      </w:r>
      <w:proofErr w:type="spellEnd"/>
      <w:r w:rsidRPr="00E60CEA">
        <w:rPr>
          <w:rFonts w:ascii="Times New Roman" w:hAnsi="Times New Roman" w:cs="Times New Roman"/>
        </w:rPr>
        <w:t xml:space="preserve">, D. Fernandez, G. </w:t>
      </w:r>
      <w:proofErr w:type="spellStart"/>
      <w:r w:rsidRPr="00E60CEA">
        <w:rPr>
          <w:rFonts w:ascii="Times New Roman" w:hAnsi="Times New Roman" w:cs="Times New Roman"/>
        </w:rPr>
        <w:t>Scheller</w:t>
      </w:r>
      <w:proofErr w:type="spellEnd"/>
      <w:r w:rsidRPr="00E60CEA">
        <w:rPr>
          <w:rFonts w:ascii="Times New Roman" w:hAnsi="Times New Roman" w:cs="Times New Roman"/>
        </w:rPr>
        <w:t xml:space="preserve">, L. (2000). Entretiens en </w:t>
      </w:r>
      <w:proofErr w:type="spellStart"/>
      <w:r w:rsidRPr="00E60CEA">
        <w:rPr>
          <w:rFonts w:ascii="Times New Roman" w:hAnsi="Times New Roman" w:cs="Times New Roman"/>
        </w:rPr>
        <w:t>autoconfrontation</w:t>
      </w:r>
      <w:proofErr w:type="spellEnd"/>
      <w:r w:rsidRPr="00E60CEA">
        <w:rPr>
          <w:rFonts w:ascii="Times New Roman" w:hAnsi="Times New Roman" w:cs="Times New Roman"/>
        </w:rPr>
        <w:t xml:space="preserve"> croisée : une méthode en clinique de l’activité. </w:t>
      </w:r>
      <w:r w:rsidRPr="00E60CEA">
        <w:rPr>
          <w:rFonts w:ascii="Times New Roman" w:hAnsi="Times New Roman" w:cs="Times New Roman"/>
          <w:i/>
        </w:rPr>
        <w:t>Pistes</w:t>
      </w:r>
      <w:r w:rsidRPr="00E60CEA">
        <w:rPr>
          <w:rFonts w:ascii="Times New Roman" w:hAnsi="Times New Roman" w:cs="Times New Roman"/>
        </w:rPr>
        <w:t xml:space="preserve"> Vol 2 N°1.</w:t>
      </w:r>
    </w:p>
    <w:p w14:paraId="1F3BD5E9" w14:textId="77777777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</w:rPr>
      </w:pPr>
    </w:p>
    <w:p w14:paraId="571C1BE0" w14:textId="77777777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  <w:i/>
        </w:rPr>
      </w:pPr>
      <w:r w:rsidRPr="00CC12BE">
        <w:rPr>
          <w:rFonts w:ascii="Times New Roman" w:hAnsi="Times New Roman" w:cs="Times New Roman"/>
        </w:rPr>
        <w:lastRenderedPageBreak/>
        <w:t xml:space="preserve">Clot, Y. et </w:t>
      </w:r>
      <w:proofErr w:type="spellStart"/>
      <w:r w:rsidRPr="00CC12BE">
        <w:rPr>
          <w:rFonts w:ascii="Times New Roman" w:hAnsi="Times New Roman" w:cs="Times New Roman"/>
        </w:rPr>
        <w:t>Faïta</w:t>
      </w:r>
      <w:proofErr w:type="spellEnd"/>
      <w:r w:rsidRPr="00CC12BE">
        <w:rPr>
          <w:rFonts w:ascii="Times New Roman" w:hAnsi="Times New Roman" w:cs="Times New Roman"/>
        </w:rPr>
        <w:t xml:space="preserve">, D. (2000) Genre et style en analyse du travail, Concepts et méthodes. </w:t>
      </w:r>
      <w:r w:rsidRPr="00CC12BE">
        <w:rPr>
          <w:rFonts w:ascii="Times New Roman" w:hAnsi="Times New Roman" w:cs="Times New Roman"/>
          <w:i/>
        </w:rPr>
        <w:t>Travailler</w:t>
      </w:r>
      <w:r w:rsidRPr="00CC12BE">
        <w:rPr>
          <w:rFonts w:ascii="Times New Roman" w:hAnsi="Times New Roman" w:cs="Times New Roman"/>
        </w:rPr>
        <w:t>, 7-42.</w:t>
      </w:r>
    </w:p>
    <w:p w14:paraId="2FF79125" w14:textId="77777777" w:rsidR="00CC12BE" w:rsidRPr="00CC12BE" w:rsidRDefault="00CC12BE" w:rsidP="00176F66">
      <w:pPr>
        <w:spacing w:after="0"/>
        <w:jc w:val="both"/>
        <w:rPr>
          <w:rFonts w:ascii="Times New Roman" w:hAnsi="Times New Roman" w:cs="Times New Roman"/>
        </w:rPr>
      </w:pPr>
    </w:p>
    <w:p w14:paraId="6C6651F7" w14:textId="072A27CB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12BE">
        <w:rPr>
          <w:rFonts w:ascii="Times New Roman" w:hAnsi="Times New Roman" w:cs="Times New Roman"/>
        </w:rPr>
        <w:t>Faïta</w:t>
      </w:r>
      <w:proofErr w:type="spellEnd"/>
      <w:r w:rsidRPr="00CC12BE">
        <w:rPr>
          <w:rFonts w:ascii="Times New Roman" w:hAnsi="Times New Roman" w:cs="Times New Roman"/>
        </w:rPr>
        <w:t xml:space="preserve"> D., </w:t>
      </w:r>
      <w:proofErr w:type="spellStart"/>
      <w:r w:rsidRPr="00CC12BE">
        <w:rPr>
          <w:rFonts w:ascii="Times New Roman" w:hAnsi="Times New Roman" w:cs="Times New Roman"/>
        </w:rPr>
        <w:t>Saujat</w:t>
      </w:r>
      <w:proofErr w:type="spellEnd"/>
      <w:r w:rsidRPr="00CC12BE">
        <w:rPr>
          <w:rFonts w:ascii="Times New Roman" w:hAnsi="Times New Roman" w:cs="Times New Roman"/>
        </w:rPr>
        <w:t xml:space="preserve"> F. (2010). Développer l’activité des enseignants pour comprendre et transformer leur travail : un cadre théorique et méthodologique. In </w:t>
      </w:r>
      <w:r w:rsidRPr="00CC12BE">
        <w:rPr>
          <w:rFonts w:ascii="Times New Roman" w:hAnsi="Times New Roman" w:cs="Times New Roman"/>
          <w:i/>
          <w:iCs/>
        </w:rPr>
        <w:t>Des outils théoriques et méthodologiques pour l’intervention et la</w:t>
      </w:r>
      <w:r w:rsidRPr="00CC12BE">
        <w:rPr>
          <w:rFonts w:ascii="Times New Roman" w:hAnsi="Times New Roman" w:cs="Times New Roman"/>
        </w:rPr>
        <w:t xml:space="preserve"> </w:t>
      </w:r>
      <w:r w:rsidRPr="00CC12BE">
        <w:rPr>
          <w:rFonts w:ascii="Times New Roman" w:hAnsi="Times New Roman" w:cs="Times New Roman"/>
          <w:i/>
          <w:iCs/>
        </w:rPr>
        <w:t>formation</w:t>
      </w:r>
      <w:r w:rsidRPr="00CC12BE">
        <w:rPr>
          <w:rFonts w:ascii="Times New Roman" w:hAnsi="Times New Roman" w:cs="Times New Roman"/>
        </w:rPr>
        <w:t xml:space="preserve">. Yvon, F. &amp; </w:t>
      </w:r>
      <w:proofErr w:type="spellStart"/>
      <w:r w:rsidRPr="00CC12BE">
        <w:rPr>
          <w:rFonts w:ascii="Times New Roman" w:hAnsi="Times New Roman" w:cs="Times New Roman"/>
        </w:rPr>
        <w:t>Saussez</w:t>
      </w:r>
      <w:proofErr w:type="spellEnd"/>
      <w:r w:rsidRPr="00CC12BE">
        <w:rPr>
          <w:rFonts w:ascii="Times New Roman" w:hAnsi="Times New Roman" w:cs="Times New Roman"/>
        </w:rPr>
        <w:t>, F. (</w:t>
      </w:r>
      <w:proofErr w:type="spellStart"/>
      <w:r w:rsidRPr="00CC12BE">
        <w:rPr>
          <w:rFonts w:ascii="Times New Roman" w:hAnsi="Times New Roman" w:cs="Times New Roman"/>
        </w:rPr>
        <w:t>Eds</w:t>
      </w:r>
      <w:proofErr w:type="spellEnd"/>
      <w:r w:rsidRPr="00CC12BE">
        <w:rPr>
          <w:rFonts w:ascii="Times New Roman" w:hAnsi="Times New Roman" w:cs="Times New Roman"/>
        </w:rPr>
        <w:t>) Press</w:t>
      </w:r>
      <w:r w:rsidR="00CC12BE" w:rsidRPr="00CC12BE">
        <w:rPr>
          <w:rFonts w:ascii="Times New Roman" w:hAnsi="Times New Roman" w:cs="Times New Roman"/>
        </w:rPr>
        <w:t xml:space="preserve">es Universitaires de Laval, </w:t>
      </w:r>
      <w:r w:rsidRPr="00CC12BE">
        <w:rPr>
          <w:rFonts w:ascii="Times New Roman" w:hAnsi="Times New Roman" w:cs="Times New Roman"/>
        </w:rPr>
        <w:t>41-69.</w:t>
      </w:r>
    </w:p>
    <w:p w14:paraId="4787F9EE" w14:textId="77777777" w:rsidR="00CC12BE" w:rsidRPr="00CC12BE" w:rsidRDefault="00CC12B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C6358A8" w14:textId="29508145" w:rsidR="00DC7159" w:rsidRPr="00CC12BE" w:rsidRDefault="00DC7159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Schubauer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 xml:space="preserve">-Leoni, M.-L., </w:t>
      </w: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Leutenegger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 xml:space="preserve">, F., Forget, A. (2007b). L’accès aux pratiques de fabrication de traces scripturales convenues au commencement de la forme scolaire : interrogations théoriques et épistémologiques. </w:t>
      </w:r>
      <w:r w:rsidRPr="00CC12BE">
        <w:rPr>
          <w:rStyle w:val="Accentuation"/>
          <w:rFonts w:ascii="Times New Roman" w:hAnsi="Times New Roman" w:cs="Times New Roman"/>
          <w:shd w:val="clear" w:color="auto" w:fill="FFFFFF"/>
        </w:rPr>
        <w:t>Éducation et didactique</w:t>
      </w:r>
      <w:r w:rsidR="00CC12BE" w:rsidRPr="00CC12BE">
        <w:rPr>
          <w:rFonts w:ascii="Times New Roman" w:hAnsi="Times New Roman" w:cs="Times New Roman"/>
          <w:shd w:val="clear" w:color="auto" w:fill="FFFFFF"/>
        </w:rPr>
        <w:t xml:space="preserve">, 1 (2), </w:t>
      </w:r>
      <w:r w:rsidRPr="00CC12BE">
        <w:rPr>
          <w:rFonts w:ascii="Times New Roman" w:hAnsi="Times New Roman" w:cs="Times New Roman"/>
          <w:shd w:val="clear" w:color="auto" w:fill="FFFFFF"/>
        </w:rPr>
        <w:t>9-36.</w:t>
      </w:r>
    </w:p>
    <w:p w14:paraId="78191C38" w14:textId="77777777" w:rsidR="00CC12BE" w:rsidRPr="00CC12BE" w:rsidRDefault="00CC12B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7A4CFC78" w14:textId="043BEF18" w:rsidR="00DC7159" w:rsidRPr="00CC12BE" w:rsidRDefault="00DC7159">
      <w:pPr>
        <w:spacing w:after="0"/>
        <w:jc w:val="both"/>
        <w:rPr>
          <w:rStyle w:val="Accentuation"/>
          <w:rFonts w:ascii="Times New Roman" w:hAnsi="Times New Roman" w:cs="Times New Roman"/>
          <w:shd w:val="clear" w:color="auto" w:fill="FFFFFF"/>
        </w:rPr>
      </w:pP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Schubauer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 xml:space="preserve">-Leoni, M.-L., </w:t>
      </w: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Leutenegger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 xml:space="preserve">, F., </w:t>
      </w: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Ligozat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 xml:space="preserve"> F., </w:t>
      </w: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Flückiger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>, A. (2007a). Un modèle de l’action conjointe professeur-élèves ; les phénomènes qu’il peut/do</w:t>
      </w:r>
      <w:r w:rsidR="00CC12BE" w:rsidRPr="00CC12BE">
        <w:rPr>
          <w:rFonts w:ascii="Times New Roman" w:hAnsi="Times New Roman" w:cs="Times New Roman"/>
          <w:shd w:val="clear" w:color="auto" w:fill="FFFFFF"/>
        </w:rPr>
        <w:t xml:space="preserve">it traiter ». </w:t>
      </w:r>
      <w:r w:rsidRPr="00CC12BE">
        <w:rPr>
          <w:rFonts w:ascii="Times New Roman" w:hAnsi="Times New Roman" w:cs="Times New Roman"/>
          <w:shd w:val="clear" w:color="auto" w:fill="FFFFFF"/>
        </w:rPr>
        <w:t>G. </w:t>
      </w: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Sensevy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>, A. Mercier (éd.),</w:t>
      </w:r>
      <w:r w:rsidRPr="00CC12B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C12BE">
        <w:rPr>
          <w:rStyle w:val="Accentuation"/>
          <w:rFonts w:ascii="Times New Roman" w:hAnsi="Times New Roman" w:cs="Times New Roman"/>
          <w:shd w:val="clear" w:color="auto" w:fill="FFFFFF"/>
        </w:rPr>
        <w:t>Agir Ensemble. L’action didactique conjointe du professeur et des élèves dans la classe</w:t>
      </w:r>
      <w:r w:rsidRPr="00CC12BE">
        <w:rPr>
          <w:rFonts w:ascii="Times New Roman" w:hAnsi="Times New Roman" w:cs="Times New Roman"/>
          <w:shd w:val="clear" w:color="auto" w:fill="FFFFFF"/>
        </w:rPr>
        <w:t>, Rennes : Presses universitaires de Rennes, 51-91</w:t>
      </w:r>
      <w:r w:rsidRPr="00CC12BE">
        <w:rPr>
          <w:rStyle w:val="Accentuation"/>
          <w:rFonts w:ascii="Times New Roman" w:hAnsi="Times New Roman" w:cs="Times New Roman"/>
          <w:shd w:val="clear" w:color="auto" w:fill="FFFFFF"/>
        </w:rPr>
        <w:t>.</w:t>
      </w:r>
    </w:p>
    <w:p w14:paraId="107BEDB1" w14:textId="77777777" w:rsidR="00CC12BE" w:rsidRPr="00CC12BE" w:rsidRDefault="00CC12BE" w:rsidP="00176F66">
      <w:pPr>
        <w:spacing w:after="0"/>
        <w:jc w:val="both"/>
        <w:rPr>
          <w:rFonts w:ascii="Times New Roman" w:hAnsi="Times New Roman" w:cs="Times New Roman"/>
        </w:rPr>
      </w:pPr>
    </w:p>
    <w:p w14:paraId="767E86D2" w14:textId="77777777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12BE">
        <w:rPr>
          <w:rFonts w:ascii="Times New Roman" w:hAnsi="Times New Roman" w:cs="Times New Roman"/>
        </w:rPr>
        <w:t>Sensevy</w:t>
      </w:r>
      <w:proofErr w:type="spellEnd"/>
      <w:r w:rsidRPr="00CC12BE">
        <w:rPr>
          <w:rFonts w:ascii="Times New Roman" w:hAnsi="Times New Roman" w:cs="Times New Roman"/>
        </w:rPr>
        <w:t xml:space="preserve">, G. (2007). Des catégories pour décrire et comprendre l’action didactique. </w:t>
      </w:r>
      <w:proofErr w:type="spellStart"/>
      <w:r w:rsidRPr="00CC12BE">
        <w:rPr>
          <w:rFonts w:ascii="Times New Roman" w:hAnsi="Times New Roman" w:cs="Times New Roman"/>
        </w:rPr>
        <w:t>Sensevy</w:t>
      </w:r>
      <w:proofErr w:type="spellEnd"/>
      <w:r w:rsidRPr="00CC12BE">
        <w:rPr>
          <w:rFonts w:ascii="Times New Roman" w:hAnsi="Times New Roman" w:cs="Times New Roman"/>
        </w:rPr>
        <w:t xml:space="preserve">, G. et Mercier, A. (éd.). </w:t>
      </w:r>
      <w:r w:rsidRPr="00CC12BE">
        <w:rPr>
          <w:rFonts w:ascii="Times New Roman" w:hAnsi="Times New Roman" w:cs="Times New Roman"/>
          <w:i/>
        </w:rPr>
        <w:t>Agir ensemble. L’action didactique conjointe du professeur et de l’élève</w:t>
      </w:r>
      <w:r w:rsidRPr="00CC12BE">
        <w:rPr>
          <w:rFonts w:ascii="Times New Roman" w:hAnsi="Times New Roman" w:cs="Times New Roman"/>
        </w:rPr>
        <w:t>, Rennes, PUR, 13-49.</w:t>
      </w:r>
    </w:p>
    <w:p w14:paraId="7D5A468F" w14:textId="77777777" w:rsidR="00CC12BE" w:rsidRPr="00CC12BE" w:rsidRDefault="00CC12BE" w:rsidP="00176F66">
      <w:pPr>
        <w:spacing w:after="0"/>
        <w:jc w:val="both"/>
        <w:rPr>
          <w:rFonts w:ascii="Times New Roman" w:hAnsi="Times New Roman" w:cs="Times New Roman"/>
        </w:rPr>
      </w:pPr>
    </w:p>
    <w:p w14:paraId="6F071076" w14:textId="77777777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12BE">
        <w:rPr>
          <w:rFonts w:ascii="Times New Roman" w:hAnsi="Times New Roman" w:cs="Times New Roman"/>
        </w:rPr>
        <w:t>Sensevy</w:t>
      </w:r>
      <w:proofErr w:type="spellEnd"/>
      <w:r w:rsidRPr="00CC12BE">
        <w:rPr>
          <w:rFonts w:ascii="Times New Roman" w:hAnsi="Times New Roman" w:cs="Times New Roman"/>
        </w:rPr>
        <w:t xml:space="preserve">, G. (2008).Le travail du professeur pour </w:t>
      </w:r>
      <w:proofErr w:type="gramStart"/>
      <w:r w:rsidRPr="00CC12BE">
        <w:rPr>
          <w:rFonts w:ascii="Times New Roman" w:hAnsi="Times New Roman" w:cs="Times New Roman"/>
        </w:rPr>
        <w:t>le</w:t>
      </w:r>
      <w:proofErr w:type="gramEnd"/>
      <w:r w:rsidRPr="00CC12BE">
        <w:rPr>
          <w:rFonts w:ascii="Times New Roman" w:hAnsi="Times New Roman" w:cs="Times New Roman"/>
        </w:rPr>
        <w:t xml:space="preserve"> théorie de l’action conjointe en didactique : une activité située ? </w:t>
      </w:r>
      <w:r w:rsidRPr="00CC12BE">
        <w:rPr>
          <w:rFonts w:ascii="Times New Roman" w:hAnsi="Times New Roman" w:cs="Times New Roman"/>
          <w:i/>
        </w:rPr>
        <w:t>Recherche et Formation</w:t>
      </w:r>
      <w:r w:rsidRPr="00CC12BE">
        <w:rPr>
          <w:rFonts w:ascii="Times New Roman" w:hAnsi="Times New Roman" w:cs="Times New Roman"/>
        </w:rPr>
        <w:t>, Vol. 57, 39-50.</w:t>
      </w:r>
    </w:p>
    <w:p w14:paraId="0B51E30C" w14:textId="77777777" w:rsidR="00CC12BE" w:rsidRPr="00CC12BE" w:rsidRDefault="00CC12BE" w:rsidP="00176F66">
      <w:pPr>
        <w:spacing w:after="0"/>
        <w:jc w:val="both"/>
        <w:rPr>
          <w:rFonts w:ascii="Times New Roman" w:hAnsi="Times New Roman" w:cs="Times New Roman"/>
        </w:rPr>
      </w:pPr>
    </w:p>
    <w:p w14:paraId="7D0F678A" w14:textId="77777777" w:rsidR="00DC7159" w:rsidRPr="00CC12BE" w:rsidRDefault="00DC7159" w:rsidP="00176F6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12BE">
        <w:rPr>
          <w:rFonts w:ascii="Times New Roman" w:hAnsi="Times New Roman" w:cs="Times New Roman"/>
        </w:rPr>
        <w:t>Sensevy</w:t>
      </w:r>
      <w:proofErr w:type="spellEnd"/>
      <w:r w:rsidRPr="00CC12BE">
        <w:rPr>
          <w:rFonts w:ascii="Times New Roman" w:hAnsi="Times New Roman" w:cs="Times New Roman"/>
        </w:rPr>
        <w:t xml:space="preserve">, G. et Mercier, A. (2007). </w:t>
      </w:r>
      <w:r w:rsidRPr="00CC12BE">
        <w:rPr>
          <w:rFonts w:ascii="Times New Roman" w:hAnsi="Times New Roman" w:cs="Times New Roman"/>
          <w:i/>
        </w:rPr>
        <w:t>Agir ensemble. L’action didactique conjointe du professeur et de l’élève</w:t>
      </w:r>
      <w:r w:rsidRPr="00CC12BE">
        <w:rPr>
          <w:rFonts w:ascii="Times New Roman" w:hAnsi="Times New Roman" w:cs="Times New Roman"/>
        </w:rPr>
        <w:t>, Rennes, PUR.</w:t>
      </w:r>
    </w:p>
    <w:p w14:paraId="5F800A04" w14:textId="77777777" w:rsidR="00CC12BE" w:rsidRPr="00CC12BE" w:rsidRDefault="00CC12B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53040FE5" w14:textId="18E94EB4" w:rsidR="00DC7159" w:rsidRPr="00CC12BE" w:rsidRDefault="00DC7159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CC12BE">
        <w:rPr>
          <w:rFonts w:ascii="Times New Roman" w:hAnsi="Times New Roman" w:cs="Times New Roman"/>
          <w:shd w:val="clear" w:color="auto" w:fill="FFFFFF"/>
        </w:rPr>
        <w:t xml:space="preserve">Tiberghien, A., </w:t>
      </w:r>
      <w:proofErr w:type="spellStart"/>
      <w:r w:rsidRPr="00CC12BE">
        <w:rPr>
          <w:rFonts w:ascii="Times New Roman" w:hAnsi="Times New Roman" w:cs="Times New Roman"/>
          <w:shd w:val="clear" w:color="auto" w:fill="FFFFFF"/>
        </w:rPr>
        <w:t>Malkoun</w:t>
      </w:r>
      <w:proofErr w:type="spellEnd"/>
      <w:r w:rsidRPr="00CC12BE">
        <w:rPr>
          <w:rFonts w:ascii="Times New Roman" w:hAnsi="Times New Roman" w:cs="Times New Roman"/>
          <w:shd w:val="clear" w:color="auto" w:fill="FFFFFF"/>
        </w:rPr>
        <w:t xml:space="preserve">, L. (2007). Différenciation des pratiques d’enseignement et acquisition des élèves du point de vue du savoir. </w:t>
      </w:r>
      <w:r w:rsidRPr="00CC12BE">
        <w:rPr>
          <w:rStyle w:val="Accentuation"/>
          <w:rFonts w:ascii="Times New Roman" w:hAnsi="Times New Roman" w:cs="Times New Roman"/>
          <w:shd w:val="clear" w:color="auto" w:fill="FFFFFF"/>
        </w:rPr>
        <w:t>Éducation et didactique</w:t>
      </w:r>
      <w:r w:rsidR="00CC12BE" w:rsidRPr="00CC12BE">
        <w:rPr>
          <w:rFonts w:ascii="Times New Roman" w:hAnsi="Times New Roman" w:cs="Times New Roman"/>
          <w:shd w:val="clear" w:color="auto" w:fill="FFFFFF"/>
        </w:rPr>
        <w:t xml:space="preserve">, 1 (2), </w:t>
      </w:r>
      <w:r w:rsidRPr="00CC12BE">
        <w:rPr>
          <w:rFonts w:ascii="Times New Roman" w:hAnsi="Times New Roman" w:cs="Times New Roman"/>
          <w:shd w:val="clear" w:color="auto" w:fill="FFFFFF"/>
        </w:rPr>
        <w:t>29-54.</w:t>
      </w:r>
    </w:p>
    <w:p w14:paraId="4211C61C" w14:textId="77777777" w:rsidR="00CC12BE" w:rsidRPr="00CC12BE" w:rsidRDefault="00CC12B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sectPr w:rsidR="00CC12BE" w:rsidRPr="00CC12BE" w:rsidSect="000A1C30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76"/>
    <w:rsid w:val="000A1C30"/>
    <w:rsid w:val="00176F66"/>
    <w:rsid w:val="003A77CC"/>
    <w:rsid w:val="00403476"/>
    <w:rsid w:val="004D1A2E"/>
    <w:rsid w:val="00582B44"/>
    <w:rsid w:val="00614378"/>
    <w:rsid w:val="006410B2"/>
    <w:rsid w:val="0064233B"/>
    <w:rsid w:val="0065473F"/>
    <w:rsid w:val="00677460"/>
    <w:rsid w:val="00713C84"/>
    <w:rsid w:val="007F1D4C"/>
    <w:rsid w:val="0081609B"/>
    <w:rsid w:val="0082584E"/>
    <w:rsid w:val="009204A4"/>
    <w:rsid w:val="00926743"/>
    <w:rsid w:val="0097273E"/>
    <w:rsid w:val="009A0FE5"/>
    <w:rsid w:val="009F628E"/>
    <w:rsid w:val="00AA392D"/>
    <w:rsid w:val="00BD2628"/>
    <w:rsid w:val="00CC12BE"/>
    <w:rsid w:val="00D02020"/>
    <w:rsid w:val="00DB29CC"/>
    <w:rsid w:val="00DB79BB"/>
    <w:rsid w:val="00DC7159"/>
    <w:rsid w:val="00E03194"/>
    <w:rsid w:val="00E26A79"/>
    <w:rsid w:val="00E50FD7"/>
    <w:rsid w:val="00E60CEA"/>
    <w:rsid w:val="00F17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728A0"/>
  <w15:docId w15:val="{8FB2D3EE-F552-45E3-B8E3-4710D204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1609B"/>
  </w:style>
  <w:style w:type="character" w:styleId="Accentuation">
    <w:name w:val="Emphasis"/>
    <w:basedOn w:val="Policepardfaut"/>
    <w:uiPriority w:val="20"/>
    <w:qFormat/>
    <w:rsid w:val="00816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Arnespy</Company>
  <LinksUpToDate>false</LinksUpToDate>
  <CharactersWithSpaces>5792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ESPINASSY</dc:creator>
  <cp:lastModifiedBy>Christelle HERRAUD</cp:lastModifiedBy>
  <cp:revision>2</cp:revision>
  <dcterms:created xsi:type="dcterms:W3CDTF">2015-10-06T13:15:00Z</dcterms:created>
  <dcterms:modified xsi:type="dcterms:W3CDTF">2015-10-06T13:15:00Z</dcterms:modified>
</cp:coreProperties>
</file>