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394" w:rsidRPr="0002115C" w:rsidRDefault="00DB7394" w:rsidP="00FF62E2">
      <w:pPr>
        <w:pStyle w:val="Titre1"/>
        <w:spacing w:after="0"/>
        <w:jc w:val="both"/>
        <w:rPr>
          <w:sz w:val="24"/>
        </w:rPr>
      </w:pPr>
      <w:bookmarkStart w:id="0" w:name="_GoBack"/>
      <w:bookmarkEnd w:id="0"/>
      <w:r w:rsidRPr="0002115C">
        <w:rPr>
          <w:sz w:val="24"/>
        </w:rPr>
        <w:t>Introduction/cadre théorique</w:t>
      </w:r>
    </w:p>
    <w:p w:rsidR="00DB7394" w:rsidRPr="0002115C" w:rsidRDefault="00DB7394" w:rsidP="00FF62E2">
      <w:pPr>
        <w:spacing w:after="0"/>
        <w:jc w:val="both"/>
        <w:rPr>
          <w:sz w:val="24"/>
          <w:lang w:val="fr-CI"/>
        </w:rPr>
      </w:pPr>
      <w:r w:rsidRPr="0002115C">
        <w:rPr>
          <w:sz w:val="24"/>
          <w:lang w:val="fr-CI"/>
        </w:rPr>
        <w:t xml:space="preserve">L’analyse des mouvements épistémologiques (ME) du professeur </w:t>
      </w:r>
      <w:r w:rsidR="00FF4C7E">
        <w:rPr>
          <w:sz w:val="24"/>
          <w:lang w:val="fr-CI"/>
        </w:rPr>
        <w:t>à travers</w:t>
      </w:r>
      <w:r w:rsidRPr="0002115C">
        <w:rPr>
          <w:sz w:val="24"/>
          <w:lang w:val="fr-CI"/>
        </w:rPr>
        <w:t xml:space="preserve"> le cadre de l’EMA (</w:t>
      </w:r>
      <w:proofErr w:type="spellStart"/>
      <w:r w:rsidRPr="0002115C">
        <w:rPr>
          <w:i/>
          <w:iCs/>
          <w:sz w:val="24"/>
          <w:lang w:val="fr-CI"/>
        </w:rPr>
        <w:t>Epistemological</w:t>
      </w:r>
      <w:proofErr w:type="spellEnd"/>
      <w:r w:rsidRPr="0002115C">
        <w:rPr>
          <w:i/>
          <w:iCs/>
          <w:sz w:val="24"/>
          <w:lang w:val="fr-CI"/>
        </w:rPr>
        <w:t xml:space="preserve"> Moves </w:t>
      </w:r>
      <w:proofErr w:type="spellStart"/>
      <w:r w:rsidRPr="0002115C">
        <w:rPr>
          <w:i/>
          <w:iCs/>
          <w:sz w:val="24"/>
          <w:lang w:val="fr-CI"/>
        </w:rPr>
        <w:t>Analysis</w:t>
      </w:r>
      <w:proofErr w:type="spellEnd"/>
      <w:r w:rsidRPr="0002115C">
        <w:rPr>
          <w:sz w:val="24"/>
          <w:lang w:val="fr-CI"/>
        </w:rPr>
        <w:t xml:space="preserve"> – </w:t>
      </w:r>
      <w:proofErr w:type="spellStart"/>
      <w:r w:rsidRPr="0002115C">
        <w:rPr>
          <w:sz w:val="24"/>
          <w:lang w:val="fr-CI"/>
        </w:rPr>
        <w:t>Wickman</w:t>
      </w:r>
      <w:proofErr w:type="spellEnd"/>
      <w:r w:rsidRPr="0002115C">
        <w:rPr>
          <w:sz w:val="24"/>
          <w:lang w:val="fr-CI"/>
        </w:rPr>
        <w:t xml:space="preserve"> et </w:t>
      </w:r>
      <w:proofErr w:type="spellStart"/>
      <w:r w:rsidRPr="0002115C">
        <w:rPr>
          <w:sz w:val="24"/>
          <w:lang w:val="fr-CI"/>
        </w:rPr>
        <w:t>Östman</w:t>
      </w:r>
      <w:proofErr w:type="spellEnd"/>
      <w:r w:rsidRPr="0002115C">
        <w:rPr>
          <w:sz w:val="24"/>
          <w:lang w:val="fr-CI"/>
        </w:rPr>
        <w:t xml:space="preserve">, 2002) s’inscrit dans le courant suédois de la philosophie </w:t>
      </w:r>
      <w:proofErr w:type="spellStart"/>
      <w:r w:rsidRPr="0002115C">
        <w:rPr>
          <w:i/>
          <w:iCs/>
          <w:sz w:val="24"/>
          <w:lang w:val="fr-CI"/>
        </w:rPr>
        <w:t>progressentialiste</w:t>
      </w:r>
      <w:proofErr w:type="spellEnd"/>
      <w:r w:rsidRPr="0002115C">
        <w:rPr>
          <w:sz w:val="24"/>
          <w:lang w:val="fr-CI"/>
        </w:rPr>
        <w:t>, selon laquelle l’enseignement scientifique vise une socialisation de l’élève dans un rapport à la découverte de la nature, incluant la construction conjointe d’un rapport à soi dans l’acquisition de cette logique. L’action du professeur est caractérisée par ces auteurs (</w:t>
      </w:r>
      <w:r w:rsidRPr="0002115C">
        <w:rPr>
          <w:i/>
          <w:iCs/>
          <w:sz w:val="24"/>
          <w:lang w:val="fr-CI"/>
        </w:rPr>
        <w:t>ibid.</w:t>
      </w:r>
      <w:r w:rsidRPr="0002115C">
        <w:rPr>
          <w:sz w:val="24"/>
          <w:lang w:val="fr-CI"/>
        </w:rPr>
        <w:t>) d’un point de vue téléologique, selon cinq types de mouvements : i. de confirmation (</w:t>
      </w:r>
      <w:proofErr w:type="spellStart"/>
      <w:r w:rsidRPr="0002115C">
        <w:rPr>
          <w:i/>
          <w:iCs/>
          <w:sz w:val="24"/>
          <w:lang w:val="fr-CI"/>
        </w:rPr>
        <w:t>confirming</w:t>
      </w:r>
      <w:proofErr w:type="spellEnd"/>
      <w:r w:rsidRPr="0002115C">
        <w:rPr>
          <w:sz w:val="24"/>
          <w:lang w:val="fr-CI"/>
        </w:rPr>
        <w:t xml:space="preserve">) : l’enseignant confirme aux élèves que ce qu’ils entreprennent/reconnaissent est correct ; ii. </w:t>
      </w:r>
      <w:proofErr w:type="gramStart"/>
      <w:r w:rsidRPr="0002115C">
        <w:rPr>
          <w:sz w:val="24"/>
          <w:lang w:val="fr-CI"/>
        </w:rPr>
        <w:t>de</w:t>
      </w:r>
      <w:proofErr w:type="gramEnd"/>
      <w:r w:rsidRPr="0002115C">
        <w:rPr>
          <w:sz w:val="24"/>
          <w:lang w:val="fr-CI"/>
        </w:rPr>
        <w:t xml:space="preserve"> reconstruction (</w:t>
      </w:r>
      <w:proofErr w:type="spellStart"/>
      <w:r w:rsidRPr="0002115C">
        <w:rPr>
          <w:i/>
          <w:iCs/>
          <w:sz w:val="24"/>
          <w:lang w:val="fr-CI"/>
        </w:rPr>
        <w:t>re-constructing</w:t>
      </w:r>
      <w:proofErr w:type="spellEnd"/>
      <w:r w:rsidRPr="0002115C">
        <w:rPr>
          <w:sz w:val="24"/>
          <w:lang w:val="fr-CI"/>
        </w:rPr>
        <w:t xml:space="preserve">) de l’expérience en indiquant aux élèves quels éléments sont utiles parmi ceux qu’ils ont repérés ; iii. </w:t>
      </w:r>
      <w:proofErr w:type="gramStart"/>
      <w:r w:rsidRPr="0002115C">
        <w:rPr>
          <w:sz w:val="24"/>
          <w:lang w:val="fr-CI"/>
        </w:rPr>
        <w:t>d’instruction</w:t>
      </w:r>
      <w:proofErr w:type="gramEnd"/>
      <w:r w:rsidRPr="0002115C">
        <w:rPr>
          <w:sz w:val="24"/>
          <w:lang w:val="fr-CI"/>
        </w:rPr>
        <w:t xml:space="preserve"> (</w:t>
      </w:r>
      <w:proofErr w:type="spellStart"/>
      <w:r w:rsidRPr="0002115C">
        <w:rPr>
          <w:i/>
          <w:iCs/>
          <w:sz w:val="24"/>
          <w:lang w:val="fr-CI"/>
        </w:rPr>
        <w:t>instructional</w:t>
      </w:r>
      <w:proofErr w:type="spellEnd"/>
      <w:r w:rsidRPr="0002115C">
        <w:rPr>
          <w:sz w:val="24"/>
          <w:lang w:val="fr-CI"/>
        </w:rPr>
        <w:t xml:space="preserve">) : éléments concrets donnés pour agir ; iv. </w:t>
      </w:r>
      <w:proofErr w:type="gramStart"/>
      <w:r w:rsidRPr="0002115C">
        <w:rPr>
          <w:sz w:val="24"/>
          <w:lang w:val="fr-CI"/>
        </w:rPr>
        <w:t>génératifs</w:t>
      </w:r>
      <w:proofErr w:type="gramEnd"/>
      <w:r w:rsidRPr="0002115C">
        <w:rPr>
          <w:sz w:val="24"/>
          <w:lang w:val="fr-CI"/>
        </w:rPr>
        <w:t xml:space="preserve"> (</w:t>
      </w:r>
      <w:proofErr w:type="spellStart"/>
      <w:r w:rsidRPr="0002115C">
        <w:rPr>
          <w:i/>
          <w:iCs/>
          <w:sz w:val="24"/>
          <w:lang w:val="fr-CI"/>
        </w:rPr>
        <w:t>generative</w:t>
      </w:r>
      <w:proofErr w:type="spellEnd"/>
      <w:r w:rsidRPr="0002115C">
        <w:rPr>
          <w:sz w:val="24"/>
          <w:lang w:val="fr-CI"/>
        </w:rPr>
        <w:t>), visant à faire produire des explications par les élèves et v. de réorientation (</w:t>
      </w:r>
      <w:proofErr w:type="spellStart"/>
      <w:r w:rsidRPr="0002115C">
        <w:rPr>
          <w:i/>
          <w:iCs/>
          <w:sz w:val="24"/>
          <w:lang w:val="fr-CI"/>
        </w:rPr>
        <w:t>re-orienting</w:t>
      </w:r>
      <w:proofErr w:type="spellEnd"/>
      <w:r w:rsidRPr="0002115C">
        <w:rPr>
          <w:sz w:val="24"/>
          <w:lang w:val="fr-CI"/>
        </w:rPr>
        <w:t xml:space="preserve">), pointant d’autres pistes d’exploration. De récents travaux investissent ces catégories d’analyse de l’action du professeur en Education Physique et Sportive (EPS – Amade-Escot, </w:t>
      </w:r>
      <w:proofErr w:type="spellStart"/>
      <w:r w:rsidRPr="0002115C">
        <w:rPr>
          <w:sz w:val="24"/>
          <w:lang w:val="fr-CI"/>
        </w:rPr>
        <w:t>Ligozat</w:t>
      </w:r>
      <w:proofErr w:type="spellEnd"/>
      <w:r w:rsidRPr="0002115C">
        <w:rPr>
          <w:sz w:val="24"/>
          <w:lang w:val="fr-CI"/>
        </w:rPr>
        <w:t xml:space="preserve">, </w:t>
      </w:r>
      <w:proofErr w:type="spellStart"/>
      <w:r w:rsidRPr="0002115C">
        <w:rPr>
          <w:sz w:val="24"/>
          <w:lang w:val="fr-CI"/>
        </w:rPr>
        <w:t>Leutenegger</w:t>
      </w:r>
      <w:proofErr w:type="spellEnd"/>
      <w:r w:rsidRPr="0002115C">
        <w:rPr>
          <w:sz w:val="24"/>
          <w:lang w:val="fr-CI"/>
        </w:rPr>
        <w:t xml:space="preserve"> &amp; </w:t>
      </w:r>
      <w:proofErr w:type="spellStart"/>
      <w:r w:rsidRPr="0002115C">
        <w:rPr>
          <w:sz w:val="24"/>
          <w:lang w:val="fr-CI"/>
        </w:rPr>
        <w:t>Lundqvist</w:t>
      </w:r>
      <w:proofErr w:type="spellEnd"/>
      <w:r w:rsidRPr="0002115C">
        <w:rPr>
          <w:sz w:val="24"/>
          <w:lang w:val="fr-CI"/>
        </w:rPr>
        <w:t>, 2015). En s’appuyant sur ces cinq catégories d’analyse dans le domaine des activités physiques et sportives (APSA), cette étude montre comment la comparaison des ME d’un professeur d’EPS (PEPS) et d’un entraîneur sportif (ES) dans une même APSA support (lancer du disque) permet de comprendre des as</w:t>
      </w:r>
      <w:r w:rsidR="00BD310D" w:rsidRPr="0002115C">
        <w:rPr>
          <w:sz w:val="24"/>
          <w:lang w:val="fr-CI"/>
        </w:rPr>
        <w:t xml:space="preserve">pects génériques </w:t>
      </w:r>
      <w:r w:rsidRPr="0002115C">
        <w:rPr>
          <w:sz w:val="24"/>
          <w:lang w:val="fr-CI"/>
        </w:rPr>
        <w:t>de l’organisation de leur action didactique</w:t>
      </w:r>
      <w:r w:rsidR="00BD310D" w:rsidRPr="0002115C">
        <w:rPr>
          <w:sz w:val="24"/>
          <w:lang w:val="fr-CI"/>
        </w:rPr>
        <w:t>, spécifiée selon</w:t>
      </w:r>
      <w:r w:rsidRPr="0002115C">
        <w:rPr>
          <w:sz w:val="24"/>
          <w:lang w:val="fr-CI"/>
        </w:rPr>
        <w:t xml:space="preserve"> les enjeux et</w:t>
      </w:r>
      <w:r w:rsidR="00BD310D" w:rsidRPr="0002115C">
        <w:rPr>
          <w:sz w:val="24"/>
          <w:lang w:val="fr-CI"/>
        </w:rPr>
        <w:t xml:space="preserve"> objets de savoir.</w:t>
      </w:r>
    </w:p>
    <w:p w:rsidR="00FF62E2" w:rsidRPr="0002115C" w:rsidRDefault="00FF62E2" w:rsidP="00FF62E2">
      <w:pPr>
        <w:pStyle w:val="Titre1"/>
        <w:spacing w:after="0"/>
        <w:jc w:val="both"/>
        <w:rPr>
          <w:sz w:val="24"/>
        </w:rPr>
      </w:pPr>
    </w:p>
    <w:p w:rsidR="00DB7394" w:rsidRPr="0002115C" w:rsidRDefault="00DB7394" w:rsidP="00FF62E2">
      <w:pPr>
        <w:pStyle w:val="Titre1"/>
        <w:spacing w:after="0"/>
        <w:jc w:val="both"/>
        <w:rPr>
          <w:sz w:val="24"/>
        </w:rPr>
      </w:pPr>
      <w:r w:rsidRPr="0002115C">
        <w:rPr>
          <w:sz w:val="24"/>
        </w:rPr>
        <w:t>Méthodologie</w:t>
      </w:r>
    </w:p>
    <w:p w:rsidR="00DB7394" w:rsidRPr="0002115C" w:rsidRDefault="00DB7394" w:rsidP="00FF62E2">
      <w:pPr>
        <w:spacing w:after="0"/>
        <w:jc w:val="both"/>
        <w:rPr>
          <w:sz w:val="24"/>
        </w:rPr>
      </w:pPr>
      <w:r w:rsidRPr="0002115C">
        <w:rPr>
          <w:sz w:val="24"/>
        </w:rPr>
        <w:t xml:space="preserve">Les données sont issues du film de deux séances consécutives pour chaque intervenant et d’entretiens ante séance (EAS – centrés sur les projets d’intervention) et post séance en </w:t>
      </w:r>
      <w:proofErr w:type="spellStart"/>
      <w:r w:rsidRPr="0002115C">
        <w:rPr>
          <w:sz w:val="24"/>
        </w:rPr>
        <w:t>autoconfrontation</w:t>
      </w:r>
      <w:proofErr w:type="spellEnd"/>
      <w:r w:rsidRPr="0002115C">
        <w:rPr>
          <w:sz w:val="24"/>
        </w:rPr>
        <w:t xml:space="preserve"> (EAC – visant à dresser les bilans de séance) de chacun d’eux. Les EAC sont organisés autour d’un séquençage vidéo révélant des incidents critiques didactiques, qui facilitent la mise en</w:t>
      </w:r>
      <w:r w:rsidR="00304B24">
        <w:rPr>
          <w:sz w:val="24"/>
        </w:rPr>
        <w:t xml:space="preserve"> œuvre de discours/d’échanges lors de/</w:t>
      </w:r>
      <w:r w:rsidRPr="0002115C">
        <w:rPr>
          <w:sz w:val="24"/>
        </w:rPr>
        <w:t>sur la pratique. Nous questionnons les dimensions génériques et spécifiques de l’intervention au regard des catégories de ME et des facteurs mentionnés à la fin du cadrage théorique.</w:t>
      </w:r>
    </w:p>
    <w:p w:rsidR="00FF62E2" w:rsidRPr="0002115C" w:rsidRDefault="00FF62E2" w:rsidP="00FF62E2">
      <w:pPr>
        <w:pStyle w:val="Titre1"/>
        <w:spacing w:after="0"/>
        <w:jc w:val="both"/>
        <w:rPr>
          <w:sz w:val="24"/>
        </w:rPr>
      </w:pPr>
    </w:p>
    <w:p w:rsidR="00DB7394" w:rsidRPr="0002115C" w:rsidRDefault="00DB7394" w:rsidP="00FF62E2">
      <w:pPr>
        <w:pStyle w:val="Titre1"/>
        <w:spacing w:after="0"/>
        <w:jc w:val="both"/>
        <w:rPr>
          <w:sz w:val="24"/>
        </w:rPr>
      </w:pPr>
      <w:r w:rsidRPr="0002115C">
        <w:rPr>
          <w:sz w:val="24"/>
        </w:rPr>
        <w:t>Résultats</w:t>
      </w:r>
    </w:p>
    <w:p w:rsidR="00066DE0" w:rsidRDefault="00DB7394" w:rsidP="00FF62E2">
      <w:pPr>
        <w:spacing w:after="0"/>
        <w:jc w:val="both"/>
        <w:rPr>
          <w:sz w:val="24"/>
          <w:lang w:val="fr-CI"/>
        </w:rPr>
      </w:pPr>
      <w:r w:rsidRPr="0002115C">
        <w:rPr>
          <w:sz w:val="24"/>
          <w:lang w:val="fr-CI"/>
        </w:rPr>
        <w:t>La nature et le mode de formalisation des savoirs visés déterminent fortement l’investissement des différents types de ME. Les savoirs techniques peuvent être formalisés en termes de positions et déplacements d’entités/ensembles corporels (tendance 1, cinématique – majoritaire chez l’ES), d’actions-sources des mouvements (tendance 2, dynamique</w:t>
      </w:r>
      <w:r w:rsidR="00066DE0">
        <w:rPr>
          <w:sz w:val="24"/>
          <w:lang w:val="fr-CI"/>
        </w:rPr>
        <w:t>/forces appliquées</w:t>
      </w:r>
      <w:r w:rsidRPr="0002115C">
        <w:rPr>
          <w:sz w:val="24"/>
          <w:lang w:val="fr-CI"/>
        </w:rPr>
        <w:t xml:space="preserve"> – quantités d’occurrences équivalentes chez le PEPS et l’ES) ou encore de principes généraux à respecter (tendance 3, majoritaire chez le PEPS : trajets/trajectoires à suivre, ry</w:t>
      </w:r>
      <w:r w:rsidR="00304B24">
        <w:rPr>
          <w:sz w:val="24"/>
          <w:lang w:val="fr-CI"/>
        </w:rPr>
        <w:t>thmes d’action/d’accélération).</w:t>
      </w:r>
    </w:p>
    <w:p w:rsidR="00066DE0" w:rsidRDefault="00B60B04" w:rsidP="00066DE0">
      <w:pPr>
        <w:spacing w:after="0"/>
        <w:jc w:val="center"/>
        <w:rPr>
          <w:sz w:val="24"/>
          <w:lang w:val="fr-CI"/>
        </w:rPr>
      </w:pPr>
      <w:r>
        <w:rPr>
          <w:noProof/>
          <w:sz w:val="24"/>
          <w:lang w:eastAsia="fr-FR"/>
        </w:rPr>
        <w:lastRenderedPageBreak/>
        <w:drawing>
          <wp:inline distT="0" distB="0" distL="0" distR="0">
            <wp:extent cx="5760720" cy="3172460"/>
            <wp:effectExtent l="0" t="0" r="0" b="889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in 3 tendances'.JPG"/>
                    <pic:cNvPicPr/>
                  </pic:nvPicPr>
                  <pic:blipFill>
                    <a:blip r:embed="rId6">
                      <a:extLst>
                        <a:ext uri="{28A0092B-C50C-407E-A947-70E740481C1C}">
                          <a14:useLocalDpi xmlns:a14="http://schemas.microsoft.com/office/drawing/2010/main" val="0"/>
                        </a:ext>
                      </a:extLst>
                    </a:blip>
                    <a:stretch>
                      <a:fillRect/>
                    </a:stretch>
                  </pic:blipFill>
                  <pic:spPr>
                    <a:xfrm>
                      <a:off x="0" y="0"/>
                      <a:ext cx="5760720" cy="3172460"/>
                    </a:xfrm>
                    <a:prstGeom prst="rect">
                      <a:avLst/>
                    </a:prstGeom>
                  </pic:spPr>
                </pic:pic>
              </a:graphicData>
            </a:graphic>
          </wp:inline>
        </w:drawing>
      </w:r>
    </w:p>
    <w:p w:rsidR="00B60B04" w:rsidRDefault="00DB7394" w:rsidP="00FF62E2">
      <w:pPr>
        <w:spacing w:after="0"/>
        <w:jc w:val="both"/>
        <w:rPr>
          <w:sz w:val="24"/>
          <w:lang w:val="fr-CI"/>
        </w:rPr>
      </w:pPr>
      <w:r w:rsidRPr="0002115C">
        <w:rPr>
          <w:sz w:val="24"/>
          <w:lang w:val="fr-CI"/>
        </w:rPr>
        <w:t>Les ME de confirmation (</w:t>
      </w:r>
      <w:proofErr w:type="spellStart"/>
      <w:r w:rsidRPr="0002115C">
        <w:rPr>
          <w:sz w:val="24"/>
          <w:lang w:val="fr-CI"/>
        </w:rPr>
        <w:t>MEConf</w:t>
      </w:r>
      <w:proofErr w:type="spellEnd"/>
      <w:r w:rsidRPr="0002115C">
        <w:rPr>
          <w:sz w:val="24"/>
          <w:lang w:val="fr-CI"/>
        </w:rPr>
        <w:t>) et d’instruction (</w:t>
      </w:r>
      <w:proofErr w:type="spellStart"/>
      <w:r w:rsidRPr="0002115C">
        <w:rPr>
          <w:sz w:val="24"/>
          <w:lang w:val="fr-CI"/>
        </w:rPr>
        <w:t>MEInst</w:t>
      </w:r>
      <w:proofErr w:type="spellEnd"/>
      <w:r w:rsidRPr="0002115C">
        <w:rPr>
          <w:sz w:val="24"/>
          <w:lang w:val="fr-CI"/>
        </w:rPr>
        <w:t xml:space="preserve">) sont davantage présents chez l’ES – tendance 1 – dans le cadre de feedbacks et d’instructions techniques précisément ciblés. Les ME de </w:t>
      </w:r>
      <w:proofErr w:type="spellStart"/>
      <w:r w:rsidRPr="0002115C">
        <w:rPr>
          <w:sz w:val="24"/>
          <w:lang w:val="fr-CI"/>
        </w:rPr>
        <w:t>ré-orientation</w:t>
      </w:r>
      <w:proofErr w:type="spellEnd"/>
      <w:r w:rsidRPr="0002115C">
        <w:rPr>
          <w:sz w:val="24"/>
          <w:lang w:val="fr-CI"/>
        </w:rPr>
        <w:t xml:space="preserve"> (</w:t>
      </w:r>
      <w:proofErr w:type="spellStart"/>
      <w:r w:rsidRPr="0002115C">
        <w:rPr>
          <w:sz w:val="24"/>
          <w:lang w:val="fr-CI"/>
        </w:rPr>
        <w:t>MERéor</w:t>
      </w:r>
      <w:proofErr w:type="spellEnd"/>
      <w:r w:rsidRPr="0002115C">
        <w:rPr>
          <w:sz w:val="24"/>
          <w:lang w:val="fr-CI"/>
        </w:rPr>
        <w:t xml:space="preserve">) privilégient la deuxième et la troisième tendance à partir d’un appui préalable sur la première, dans le sens d’un engagement à explorer les possibilités d’accentuation de certaines lignes/tendances motrices. Les ME de </w:t>
      </w:r>
      <w:proofErr w:type="spellStart"/>
      <w:r w:rsidRPr="0002115C">
        <w:rPr>
          <w:sz w:val="24"/>
          <w:lang w:val="fr-CI"/>
        </w:rPr>
        <w:t>re-construction</w:t>
      </w:r>
      <w:proofErr w:type="spellEnd"/>
      <w:r w:rsidRPr="0002115C">
        <w:rPr>
          <w:sz w:val="24"/>
          <w:lang w:val="fr-CI"/>
        </w:rPr>
        <w:t xml:space="preserve"> (</w:t>
      </w:r>
      <w:proofErr w:type="spellStart"/>
      <w:r w:rsidRPr="0002115C">
        <w:rPr>
          <w:sz w:val="24"/>
          <w:lang w:val="fr-CI"/>
        </w:rPr>
        <w:t>MERec</w:t>
      </w:r>
      <w:proofErr w:type="spellEnd"/>
      <w:r w:rsidRPr="0002115C">
        <w:rPr>
          <w:sz w:val="24"/>
          <w:lang w:val="fr-CI"/>
        </w:rPr>
        <w:t xml:space="preserve">), environ deux fois plus fréquents chez le PEPS, combinent ces trois tendances en se spécifiant selon les intervenants : le PEPS </w:t>
      </w:r>
      <w:proofErr w:type="spellStart"/>
      <w:r w:rsidRPr="0002115C">
        <w:rPr>
          <w:sz w:val="24"/>
          <w:lang w:val="fr-CI"/>
        </w:rPr>
        <w:t>re-précise</w:t>
      </w:r>
      <w:proofErr w:type="spellEnd"/>
      <w:r w:rsidRPr="0002115C">
        <w:rPr>
          <w:sz w:val="24"/>
          <w:lang w:val="fr-CI"/>
        </w:rPr>
        <w:t xml:space="preserve"> des éléments de milieu (concret/abstrait) sur lesquels les élèves sont invités à se focaliser, dans une perspective d’</w:t>
      </w:r>
      <w:r w:rsidRPr="0002115C">
        <w:rPr>
          <w:i/>
          <w:iCs/>
          <w:sz w:val="24"/>
          <w:lang w:val="fr-CI"/>
        </w:rPr>
        <w:t>exploitation pour réussir</w:t>
      </w:r>
      <w:r w:rsidRPr="0002115C">
        <w:rPr>
          <w:sz w:val="24"/>
          <w:lang w:val="fr-CI"/>
        </w:rPr>
        <w:t xml:space="preserve"> dans la situation. Chez l’ES, ce mouvement s’appuie sur un questionnement préalable de l’athlète, largement orienté vers l’identification de son ressenti, afin de proposer ensuite des pistes en lien avec un t</w:t>
      </w:r>
      <w:r w:rsidR="00124A36">
        <w:rPr>
          <w:sz w:val="24"/>
          <w:lang w:val="fr-CI"/>
        </w:rPr>
        <w:t xml:space="preserve">hème de travail. Si les </w:t>
      </w:r>
      <w:proofErr w:type="spellStart"/>
      <w:r w:rsidR="00124A36">
        <w:rPr>
          <w:sz w:val="24"/>
          <w:lang w:val="fr-CI"/>
        </w:rPr>
        <w:t>MERéor</w:t>
      </w:r>
      <w:proofErr w:type="spellEnd"/>
      <w:r w:rsidR="00124A36">
        <w:rPr>
          <w:sz w:val="24"/>
          <w:lang w:val="fr-CI"/>
        </w:rPr>
        <w:t xml:space="preserve"> (</w:t>
      </w:r>
      <w:r w:rsidR="00ED64B8">
        <w:rPr>
          <w:sz w:val="24"/>
          <w:lang w:val="fr-CI"/>
        </w:rPr>
        <w:t>proportions</w:t>
      </w:r>
      <w:r w:rsidRPr="0002115C">
        <w:rPr>
          <w:sz w:val="24"/>
          <w:lang w:val="fr-CI"/>
        </w:rPr>
        <w:t xml:space="preserve"> équivalentes chez les deux intervenants</w:t>
      </w:r>
      <w:r w:rsidR="00124A36">
        <w:rPr>
          <w:sz w:val="24"/>
          <w:lang w:val="fr-CI"/>
        </w:rPr>
        <w:t>)</w:t>
      </w:r>
      <w:r w:rsidRPr="0002115C">
        <w:rPr>
          <w:sz w:val="24"/>
          <w:lang w:val="fr-CI"/>
        </w:rPr>
        <w:t xml:space="preserve"> procèdent du même type de pointage d’éléments, les ES en positionnent de nouveaux sur le devant de la scène didactique, redéfinissant très fréquemment la situation/les pistes de travail proposées. La présence des ME génératifs (</w:t>
      </w:r>
      <w:proofErr w:type="spellStart"/>
      <w:r w:rsidRPr="0002115C">
        <w:rPr>
          <w:sz w:val="24"/>
          <w:lang w:val="fr-CI"/>
        </w:rPr>
        <w:t>MEGén</w:t>
      </w:r>
      <w:proofErr w:type="spellEnd"/>
      <w:r w:rsidRPr="0002115C">
        <w:rPr>
          <w:sz w:val="24"/>
          <w:lang w:val="fr-CI"/>
        </w:rPr>
        <w:t xml:space="preserve">), plus forte en EPS, se manifeste quant à elle par l’enchâssement de </w:t>
      </w:r>
      <w:r w:rsidR="00124A36">
        <w:rPr>
          <w:sz w:val="24"/>
          <w:lang w:val="fr-CI"/>
        </w:rPr>
        <w:t>ces ME</w:t>
      </w:r>
      <w:r w:rsidRPr="0002115C">
        <w:rPr>
          <w:sz w:val="24"/>
          <w:lang w:val="fr-CI"/>
        </w:rPr>
        <w:t xml:space="preserve"> au sein des </w:t>
      </w:r>
      <w:proofErr w:type="spellStart"/>
      <w:r w:rsidRPr="0002115C">
        <w:rPr>
          <w:sz w:val="24"/>
          <w:lang w:val="fr-CI"/>
        </w:rPr>
        <w:t>MERec</w:t>
      </w:r>
      <w:proofErr w:type="spellEnd"/>
      <w:r w:rsidRPr="0002115C">
        <w:rPr>
          <w:sz w:val="24"/>
          <w:lang w:val="fr-CI"/>
        </w:rPr>
        <w:t xml:space="preserve"> et des </w:t>
      </w:r>
      <w:proofErr w:type="spellStart"/>
      <w:r w:rsidRPr="0002115C">
        <w:rPr>
          <w:sz w:val="24"/>
          <w:lang w:val="fr-CI"/>
        </w:rPr>
        <w:t>MERéor</w:t>
      </w:r>
      <w:proofErr w:type="spellEnd"/>
      <w:r w:rsidRPr="0002115C">
        <w:rPr>
          <w:sz w:val="24"/>
          <w:lang w:val="fr-CI"/>
        </w:rPr>
        <w:t xml:space="preserve">. L’ES formule et questionne alors des mises en relation (cf. </w:t>
      </w:r>
      <w:r w:rsidRPr="0002115C">
        <w:rPr>
          <w:i/>
          <w:iCs/>
          <w:sz w:val="24"/>
          <w:lang w:val="fr-CI"/>
        </w:rPr>
        <w:t>supra</w:t>
      </w:r>
      <w:r w:rsidRPr="0002115C">
        <w:rPr>
          <w:sz w:val="24"/>
          <w:lang w:val="fr-CI"/>
        </w:rPr>
        <w:t xml:space="preserve"> sur les </w:t>
      </w:r>
      <w:proofErr w:type="spellStart"/>
      <w:r w:rsidRPr="0002115C">
        <w:rPr>
          <w:sz w:val="24"/>
          <w:lang w:val="fr-CI"/>
        </w:rPr>
        <w:t>MERec</w:t>
      </w:r>
      <w:proofErr w:type="spellEnd"/>
      <w:r w:rsidRPr="0002115C">
        <w:rPr>
          <w:sz w:val="24"/>
          <w:lang w:val="fr-CI"/>
        </w:rPr>
        <w:t xml:space="preserve">) de type algorithmique (si/quand…alors…) appuyées sur des constats et instructions techniques, de manière à inciter l’athlète à réfléchir sur la régulation – essentiellement mécanique – de son geste. </w:t>
      </w:r>
    </w:p>
    <w:p w:rsidR="000341D4" w:rsidRPr="00B60B04" w:rsidRDefault="000341D4" w:rsidP="00B60B04">
      <w:pPr>
        <w:spacing w:after="0"/>
        <w:jc w:val="center"/>
        <w:rPr>
          <w:sz w:val="24"/>
          <w:lang w:val="fr-CI"/>
        </w:rPr>
      </w:pPr>
    </w:p>
    <w:p w:rsidR="000341D4" w:rsidRDefault="00B60B04" w:rsidP="00B60B04">
      <w:pPr>
        <w:spacing w:after="0"/>
        <w:jc w:val="center"/>
        <w:rPr>
          <w:sz w:val="24"/>
          <w:lang w:val="fr-CI"/>
        </w:rPr>
      </w:pPr>
      <w:r>
        <w:rPr>
          <w:noProof/>
          <w:sz w:val="24"/>
          <w:lang w:eastAsia="fr-FR"/>
        </w:rPr>
        <w:lastRenderedPageBreak/>
        <w:drawing>
          <wp:inline distT="0" distB="0" distL="0" distR="0">
            <wp:extent cx="5760720" cy="3540760"/>
            <wp:effectExtent l="0" t="0" r="0" b="254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 MLP ARCD 2016''.JPG"/>
                    <pic:cNvPicPr/>
                  </pic:nvPicPr>
                  <pic:blipFill>
                    <a:blip r:embed="rId7">
                      <a:extLst>
                        <a:ext uri="{28A0092B-C50C-407E-A947-70E740481C1C}">
                          <a14:useLocalDpi xmlns:a14="http://schemas.microsoft.com/office/drawing/2010/main" val="0"/>
                        </a:ext>
                      </a:extLst>
                    </a:blip>
                    <a:stretch>
                      <a:fillRect/>
                    </a:stretch>
                  </pic:blipFill>
                  <pic:spPr>
                    <a:xfrm>
                      <a:off x="0" y="0"/>
                      <a:ext cx="5760720" cy="3540760"/>
                    </a:xfrm>
                    <a:prstGeom prst="rect">
                      <a:avLst/>
                    </a:prstGeom>
                  </pic:spPr>
                </pic:pic>
              </a:graphicData>
            </a:graphic>
          </wp:inline>
        </w:drawing>
      </w:r>
    </w:p>
    <w:p w:rsidR="00B60B04" w:rsidRDefault="00B60B04" w:rsidP="00B60B04">
      <w:pPr>
        <w:spacing w:after="0"/>
        <w:jc w:val="center"/>
        <w:rPr>
          <w:sz w:val="24"/>
          <w:lang w:val="fr-CI"/>
        </w:rPr>
      </w:pPr>
      <w:r>
        <w:rPr>
          <w:noProof/>
          <w:sz w:val="24"/>
          <w:lang w:eastAsia="fr-FR"/>
        </w:rPr>
        <w:drawing>
          <wp:inline distT="0" distB="0" distL="0" distR="0">
            <wp:extent cx="5760720" cy="3370580"/>
            <wp:effectExtent l="0" t="0" r="0" b="127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3 MLP ARCD 2016''.JPG"/>
                    <pic:cNvPicPr/>
                  </pic:nvPicPr>
                  <pic:blipFill>
                    <a:blip r:embed="rId8">
                      <a:extLst>
                        <a:ext uri="{28A0092B-C50C-407E-A947-70E740481C1C}">
                          <a14:useLocalDpi xmlns:a14="http://schemas.microsoft.com/office/drawing/2010/main" val="0"/>
                        </a:ext>
                      </a:extLst>
                    </a:blip>
                    <a:stretch>
                      <a:fillRect/>
                    </a:stretch>
                  </pic:blipFill>
                  <pic:spPr>
                    <a:xfrm>
                      <a:off x="0" y="0"/>
                      <a:ext cx="5760720" cy="3370580"/>
                    </a:xfrm>
                    <a:prstGeom prst="rect">
                      <a:avLst/>
                    </a:prstGeom>
                  </pic:spPr>
                </pic:pic>
              </a:graphicData>
            </a:graphic>
          </wp:inline>
        </w:drawing>
      </w:r>
    </w:p>
    <w:p w:rsidR="00C941FD" w:rsidRDefault="00C941FD" w:rsidP="00FF62E2">
      <w:pPr>
        <w:spacing w:after="0"/>
        <w:jc w:val="both"/>
        <w:rPr>
          <w:sz w:val="24"/>
          <w:lang w:val="fr-CI"/>
        </w:rPr>
      </w:pPr>
    </w:p>
    <w:p w:rsidR="00DB7394" w:rsidRPr="0002115C" w:rsidRDefault="00DB7394" w:rsidP="00FF62E2">
      <w:pPr>
        <w:spacing w:after="0"/>
        <w:jc w:val="both"/>
        <w:rPr>
          <w:sz w:val="24"/>
          <w:lang w:val="fr-CI"/>
        </w:rPr>
      </w:pPr>
      <w:r w:rsidRPr="0002115C">
        <w:rPr>
          <w:sz w:val="24"/>
          <w:lang w:val="fr-CI"/>
        </w:rPr>
        <w:t xml:space="preserve">Le PEPS questionne quant à lui les élèves sur les finalités et effets de cette régulation au-delà de la simple efficacité mécanique. Les finalités techniques sont alors mises en relation de manière concrète avec d’autres finalités, éducatives/hygiénistes/prophylactiques… Ainsi par exemple, le questionnement des élèves sur la nécessité d’éloigner au maximum le disque </w:t>
      </w:r>
      <w:r w:rsidR="001F5172">
        <w:rPr>
          <w:sz w:val="24"/>
          <w:lang w:val="fr-CI"/>
        </w:rPr>
        <w:t>en fin de</w:t>
      </w:r>
      <w:r w:rsidRPr="0002115C">
        <w:rPr>
          <w:sz w:val="24"/>
          <w:lang w:val="fr-CI"/>
        </w:rPr>
        <w:t xml:space="preserve"> geste vise à les faire réfléchir sur les raisons pour lesquelles cet éloignement permet d’être à la fois plus efficace et plus respectueux de l’intégrité corporelle. Le PEPS justifie alors la mise en place de critères d’observation/évaluation et de rôles sociaux complémentaires, visant le développement de la coopération et de l’autonomie. L’</w:t>
      </w:r>
      <w:r w:rsidRPr="0002115C">
        <w:rPr>
          <w:i/>
          <w:iCs/>
          <w:sz w:val="24"/>
          <w:lang w:val="fr-CI"/>
        </w:rPr>
        <w:t xml:space="preserve">apprendre </w:t>
      </w:r>
      <w:r w:rsidRPr="0002115C">
        <w:rPr>
          <w:i/>
          <w:iCs/>
          <w:sz w:val="24"/>
          <w:lang w:val="fr-CI"/>
        </w:rPr>
        <w:lastRenderedPageBreak/>
        <w:t>à apprendre</w:t>
      </w:r>
      <w:r w:rsidRPr="0002115C">
        <w:rPr>
          <w:sz w:val="24"/>
          <w:lang w:val="fr-CI"/>
        </w:rPr>
        <w:t xml:space="preserve"> (ensemble) les objets techniques visés devient alors en soi un objet d’enseignement</w:t>
      </w:r>
      <w:r w:rsidR="00ED64B8">
        <w:rPr>
          <w:sz w:val="24"/>
          <w:lang w:val="fr-CI"/>
        </w:rPr>
        <w:t> et</w:t>
      </w:r>
      <w:r w:rsidR="00C941FD">
        <w:rPr>
          <w:sz w:val="24"/>
          <w:lang w:val="fr-CI"/>
        </w:rPr>
        <w:t xml:space="preserve"> l</w:t>
      </w:r>
      <w:r w:rsidR="001F5172">
        <w:rPr>
          <w:sz w:val="24"/>
          <w:lang w:val="fr-CI"/>
        </w:rPr>
        <w:t>’</w:t>
      </w:r>
      <w:r w:rsidR="00C941FD">
        <w:rPr>
          <w:sz w:val="24"/>
          <w:lang w:val="fr-CI"/>
        </w:rPr>
        <w:t xml:space="preserve">élève devient </w:t>
      </w:r>
      <w:r w:rsidRPr="0002115C">
        <w:rPr>
          <w:sz w:val="24"/>
          <w:lang w:val="fr-CI"/>
        </w:rPr>
        <w:t>source de production de ME dans le di</w:t>
      </w:r>
      <w:r w:rsidR="00ED64B8">
        <w:rPr>
          <w:sz w:val="24"/>
          <w:lang w:val="fr-CI"/>
        </w:rPr>
        <w:t xml:space="preserve">alogue avec l’enseignant/ses </w:t>
      </w:r>
      <w:r w:rsidRPr="0002115C">
        <w:rPr>
          <w:sz w:val="24"/>
          <w:lang w:val="fr-CI"/>
        </w:rPr>
        <w:t xml:space="preserve">camarades. </w:t>
      </w:r>
    </w:p>
    <w:p w:rsidR="00FF62E2" w:rsidRPr="0002115C" w:rsidRDefault="00FF62E2" w:rsidP="00FF62E2">
      <w:pPr>
        <w:pStyle w:val="Titre1"/>
        <w:spacing w:after="0"/>
        <w:jc w:val="both"/>
        <w:rPr>
          <w:sz w:val="24"/>
        </w:rPr>
      </w:pPr>
    </w:p>
    <w:p w:rsidR="00DB7394" w:rsidRPr="0002115C" w:rsidRDefault="00DB7394" w:rsidP="00FF62E2">
      <w:pPr>
        <w:pStyle w:val="Titre1"/>
        <w:spacing w:after="0"/>
        <w:jc w:val="both"/>
        <w:rPr>
          <w:sz w:val="24"/>
        </w:rPr>
      </w:pPr>
      <w:r w:rsidRPr="0002115C">
        <w:rPr>
          <w:sz w:val="24"/>
        </w:rPr>
        <w:t>Discussion/conclusion</w:t>
      </w:r>
    </w:p>
    <w:p w:rsidR="00DB7394" w:rsidRPr="0002115C" w:rsidRDefault="001F5172" w:rsidP="00FF62E2">
      <w:pPr>
        <w:spacing w:after="0"/>
        <w:jc w:val="both"/>
        <w:rPr>
          <w:sz w:val="24"/>
          <w:lang w:val="fr-CI"/>
        </w:rPr>
      </w:pPr>
      <w:r>
        <w:rPr>
          <w:sz w:val="24"/>
          <w:lang w:val="fr-CI"/>
        </w:rPr>
        <w:t xml:space="preserve">Les enjeux de performance </w:t>
      </w:r>
      <w:r w:rsidR="00DB7394" w:rsidRPr="0002115C">
        <w:rPr>
          <w:sz w:val="24"/>
          <w:lang w:val="fr-CI"/>
        </w:rPr>
        <w:t xml:space="preserve">en </w:t>
      </w:r>
      <w:r>
        <w:rPr>
          <w:sz w:val="24"/>
          <w:lang w:val="fr-CI"/>
        </w:rPr>
        <w:t>athlétisme</w:t>
      </w:r>
      <w:r w:rsidR="00DB7394" w:rsidRPr="0002115C">
        <w:rPr>
          <w:sz w:val="24"/>
          <w:lang w:val="fr-CI"/>
        </w:rPr>
        <w:t xml:space="preserve"> façonnent et donnent le primat à des savoirs techniques pré</w:t>
      </w:r>
      <w:r w:rsidR="00304B24">
        <w:rPr>
          <w:sz w:val="24"/>
          <w:lang w:val="fr-CI"/>
        </w:rPr>
        <w:t>cisément localisés dans le temps et l’espace,</w:t>
      </w:r>
      <w:r w:rsidR="00DB7394" w:rsidRPr="0002115C">
        <w:rPr>
          <w:sz w:val="24"/>
          <w:lang w:val="fr-CI"/>
        </w:rPr>
        <w:t xml:space="preserve"> pointés de manière résurgente par l’ES (</w:t>
      </w:r>
      <w:proofErr w:type="spellStart"/>
      <w:r w:rsidR="00DB7394" w:rsidRPr="0002115C">
        <w:rPr>
          <w:sz w:val="24"/>
          <w:lang w:val="fr-CI"/>
        </w:rPr>
        <w:t>MEInst</w:t>
      </w:r>
      <w:proofErr w:type="spellEnd"/>
      <w:r w:rsidR="00DB7394" w:rsidRPr="0002115C">
        <w:rPr>
          <w:sz w:val="24"/>
          <w:lang w:val="fr-CI"/>
        </w:rPr>
        <w:t xml:space="preserve">, </w:t>
      </w:r>
      <w:proofErr w:type="spellStart"/>
      <w:r w:rsidR="00DB7394" w:rsidRPr="0002115C">
        <w:rPr>
          <w:sz w:val="24"/>
          <w:lang w:val="fr-CI"/>
        </w:rPr>
        <w:t>MEConf</w:t>
      </w:r>
      <w:proofErr w:type="spellEnd"/>
      <w:r w:rsidR="00DB7394" w:rsidRPr="0002115C">
        <w:rPr>
          <w:sz w:val="24"/>
          <w:lang w:val="fr-CI"/>
        </w:rPr>
        <w:t xml:space="preserve">) et qui contribuent à spécifier l’identité de la pratique sociale de référence. Les </w:t>
      </w:r>
      <w:proofErr w:type="spellStart"/>
      <w:r w:rsidR="00DB7394" w:rsidRPr="0002115C">
        <w:rPr>
          <w:sz w:val="24"/>
          <w:lang w:val="fr-CI"/>
        </w:rPr>
        <w:t>MERéor</w:t>
      </w:r>
      <w:proofErr w:type="spellEnd"/>
      <w:r w:rsidR="00DB7394" w:rsidRPr="0002115C">
        <w:rPr>
          <w:sz w:val="24"/>
          <w:lang w:val="fr-CI"/>
        </w:rPr>
        <w:t>/</w:t>
      </w:r>
      <w:proofErr w:type="spellStart"/>
      <w:r w:rsidR="00DB7394" w:rsidRPr="0002115C">
        <w:rPr>
          <w:sz w:val="24"/>
          <w:lang w:val="fr-CI"/>
        </w:rPr>
        <w:t>MERec</w:t>
      </w:r>
      <w:proofErr w:type="spellEnd"/>
      <w:r w:rsidR="00DB7394" w:rsidRPr="0002115C">
        <w:rPr>
          <w:sz w:val="24"/>
          <w:lang w:val="fr-CI"/>
        </w:rPr>
        <w:t xml:space="preserve"> jouent alors sur la dialectique conformité (à des standards techniques d’exécution)/performance (stylisant/personnalisant le geste) selon des principes d’action généraux, qui en EPS sont moteurs non seulement d’un accroissement de la performance mais également d’une réflexion</w:t>
      </w:r>
      <w:r>
        <w:rPr>
          <w:sz w:val="24"/>
          <w:lang w:val="fr-CI"/>
        </w:rPr>
        <w:t xml:space="preserve"> plus large</w:t>
      </w:r>
      <w:r w:rsidR="00DB7394" w:rsidRPr="0002115C">
        <w:rPr>
          <w:sz w:val="24"/>
          <w:lang w:val="fr-CI"/>
        </w:rPr>
        <w:t xml:space="preserve"> – d’où l’importance des </w:t>
      </w:r>
      <w:proofErr w:type="spellStart"/>
      <w:r w:rsidR="00DB7394" w:rsidRPr="0002115C">
        <w:rPr>
          <w:sz w:val="24"/>
          <w:lang w:val="fr-CI"/>
        </w:rPr>
        <w:t>MEGén</w:t>
      </w:r>
      <w:proofErr w:type="spellEnd"/>
      <w:r w:rsidR="00DB7394" w:rsidRPr="0002115C">
        <w:rPr>
          <w:sz w:val="24"/>
          <w:lang w:val="fr-CI"/>
        </w:rPr>
        <w:t xml:space="preserve"> –sur les enjeux de cette discipline, engageant l’élève dans la construction d’un rapport distancié et constructif à soi et à l’autre. </w:t>
      </w:r>
    </w:p>
    <w:p w:rsidR="00DB7394" w:rsidRDefault="00304B24" w:rsidP="007F633B">
      <w:pPr>
        <w:spacing w:after="0"/>
        <w:jc w:val="both"/>
        <w:rPr>
          <w:sz w:val="24"/>
          <w:lang w:val="fr-CI"/>
        </w:rPr>
      </w:pPr>
      <w:r>
        <w:rPr>
          <w:sz w:val="24"/>
          <w:lang w:val="fr-CI"/>
        </w:rPr>
        <w:t>En conclusion, l</w:t>
      </w:r>
      <w:r w:rsidR="007F633B">
        <w:rPr>
          <w:sz w:val="24"/>
          <w:lang w:val="fr-CI"/>
        </w:rPr>
        <w:t>a finesse et la part d</w:t>
      </w:r>
      <w:r>
        <w:rPr>
          <w:sz w:val="24"/>
          <w:lang w:val="fr-CI"/>
        </w:rPr>
        <w:t>’implicite d</w:t>
      </w:r>
      <w:r w:rsidR="007F633B">
        <w:rPr>
          <w:sz w:val="24"/>
          <w:lang w:val="fr-CI"/>
        </w:rPr>
        <w:t>es modalités de régulation (</w:t>
      </w:r>
      <w:r>
        <w:rPr>
          <w:sz w:val="24"/>
          <w:lang w:val="fr-CI"/>
        </w:rPr>
        <w:t>individuelles/collectives/</w:t>
      </w:r>
      <w:r w:rsidR="007F633B">
        <w:rPr>
          <w:sz w:val="24"/>
          <w:lang w:val="fr-CI"/>
        </w:rPr>
        <w:t>corporelles</w:t>
      </w:r>
      <w:r>
        <w:rPr>
          <w:sz w:val="24"/>
          <w:lang w:val="fr-CI"/>
        </w:rPr>
        <w:t>/</w:t>
      </w:r>
      <w:r w:rsidR="007F633B">
        <w:rPr>
          <w:sz w:val="24"/>
          <w:lang w:val="fr-CI"/>
        </w:rPr>
        <w:t>didactiques</w:t>
      </w:r>
      <w:r>
        <w:rPr>
          <w:sz w:val="24"/>
          <w:lang w:val="fr-CI"/>
        </w:rPr>
        <w:t>…</w:t>
      </w:r>
      <w:r w:rsidR="007F633B">
        <w:rPr>
          <w:sz w:val="24"/>
          <w:lang w:val="fr-CI"/>
        </w:rPr>
        <w:t>)</w:t>
      </w:r>
      <w:r>
        <w:rPr>
          <w:sz w:val="24"/>
          <w:lang w:val="fr-CI"/>
        </w:rPr>
        <w:t xml:space="preserve"> dans les disciplines praxiques</w:t>
      </w:r>
      <w:r w:rsidR="007F633B">
        <w:rPr>
          <w:sz w:val="24"/>
          <w:lang w:val="fr-CI"/>
        </w:rPr>
        <w:t xml:space="preserve"> appelle à y étudier la façon dont différents</w:t>
      </w:r>
      <w:r>
        <w:rPr>
          <w:sz w:val="24"/>
          <w:lang w:val="fr-CI"/>
        </w:rPr>
        <w:t xml:space="preserve"> cadres</w:t>
      </w:r>
      <w:r w:rsidR="007F633B">
        <w:rPr>
          <w:sz w:val="24"/>
          <w:lang w:val="fr-CI"/>
        </w:rPr>
        <w:t xml:space="preserve"> tels que celui de l’EMA ou encore de la théorie de l’action conjointe en didactique permettent de comprendre ce qui s’y joue/s’y n</w:t>
      </w:r>
      <w:r>
        <w:rPr>
          <w:sz w:val="24"/>
          <w:lang w:val="fr-CI"/>
        </w:rPr>
        <w:t>oue (savoirs en jeu dans/enjeux des</w:t>
      </w:r>
      <w:r w:rsidR="007F633B">
        <w:rPr>
          <w:sz w:val="24"/>
          <w:lang w:val="fr-CI"/>
        </w:rPr>
        <w:t xml:space="preserve"> relation</w:t>
      </w:r>
      <w:r>
        <w:rPr>
          <w:sz w:val="24"/>
          <w:lang w:val="fr-CI"/>
        </w:rPr>
        <w:t>s</w:t>
      </w:r>
      <w:r w:rsidR="007F633B">
        <w:rPr>
          <w:sz w:val="24"/>
          <w:lang w:val="fr-CI"/>
        </w:rPr>
        <w:t>).</w:t>
      </w:r>
    </w:p>
    <w:p w:rsidR="006E0D20" w:rsidRDefault="006E0D20" w:rsidP="00FF62E2">
      <w:pPr>
        <w:pStyle w:val="Titre1"/>
        <w:spacing w:after="0"/>
        <w:jc w:val="both"/>
        <w:rPr>
          <w:sz w:val="24"/>
        </w:rPr>
      </w:pPr>
    </w:p>
    <w:p w:rsidR="00DB7394" w:rsidRPr="0002115C" w:rsidRDefault="00DB7394" w:rsidP="00FF62E2">
      <w:pPr>
        <w:pStyle w:val="Titre1"/>
        <w:spacing w:after="0"/>
        <w:jc w:val="both"/>
        <w:rPr>
          <w:sz w:val="24"/>
        </w:rPr>
      </w:pPr>
      <w:r w:rsidRPr="0002115C">
        <w:rPr>
          <w:sz w:val="24"/>
        </w:rPr>
        <w:t>Bibliographie</w:t>
      </w:r>
    </w:p>
    <w:p w:rsidR="00ED64B8" w:rsidRDefault="00ED64B8" w:rsidP="00FF62E2">
      <w:pPr>
        <w:spacing w:after="0"/>
        <w:jc w:val="both"/>
        <w:rPr>
          <w:sz w:val="24"/>
          <w:lang w:val="en-US"/>
        </w:rPr>
      </w:pPr>
    </w:p>
    <w:p w:rsidR="00DB7394" w:rsidRDefault="00DB7394" w:rsidP="00FF62E2">
      <w:pPr>
        <w:spacing w:after="0"/>
        <w:jc w:val="both"/>
        <w:rPr>
          <w:sz w:val="24"/>
          <w:lang w:val="fr-CI"/>
        </w:rPr>
      </w:pPr>
      <w:proofErr w:type="spellStart"/>
      <w:proofErr w:type="gramStart"/>
      <w:r w:rsidRPr="0002115C">
        <w:rPr>
          <w:sz w:val="24"/>
          <w:lang w:val="en-US"/>
        </w:rPr>
        <w:t>Amade-Escot</w:t>
      </w:r>
      <w:proofErr w:type="spellEnd"/>
      <w:r w:rsidRPr="0002115C">
        <w:rPr>
          <w:sz w:val="24"/>
          <w:lang w:val="en-US"/>
        </w:rPr>
        <w:t xml:space="preserve">, C., </w:t>
      </w:r>
      <w:proofErr w:type="spellStart"/>
      <w:r w:rsidRPr="0002115C">
        <w:rPr>
          <w:sz w:val="24"/>
          <w:lang w:val="en-US"/>
        </w:rPr>
        <w:t>Ligozat</w:t>
      </w:r>
      <w:proofErr w:type="spellEnd"/>
      <w:r w:rsidRPr="0002115C">
        <w:rPr>
          <w:sz w:val="24"/>
          <w:lang w:val="en-US"/>
        </w:rPr>
        <w:t xml:space="preserve">, F., </w:t>
      </w:r>
      <w:proofErr w:type="spellStart"/>
      <w:r w:rsidRPr="0002115C">
        <w:rPr>
          <w:sz w:val="24"/>
          <w:lang w:val="en-US"/>
        </w:rPr>
        <w:t>Leutenegger</w:t>
      </w:r>
      <w:proofErr w:type="spellEnd"/>
      <w:r w:rsidRPr="0002115C">
        <w:rPr>
          <w:sz w:val="24"/>
          <w:lang w:val="en-US"/>
        </w:rPr>
        <w:t xml:space="preserve">, F., &amp; </w:t>
      </w:r>
      <w:proofErr w:type="spellStart"/>
      <w:r w:rsidRPr="0002115C">
        <w:rPr>
          <w:sz w:val="24"/>
          <w:lang w:val="en-US"/>
        </w:rPr>
        <w:t>Lundqvist</w:t>
      </w:r>
      <w:proofErr w:type="spellEnd"/>
      <w:r w:rsidRPr="0002115C">
        <w:rPr>
          <w:sz w:val="24"/>
          <w:lang w:val="en-US"/>
        </w:rPr>
        <w:t xml:space="preserve">, E. (2015, </w:t>
      </w:r>
      <w:proofErr w:type="spellStart"/>
      <w:r w:rsidRPr="0002115C">
        <w:rPr>
          <w:sz w:val="24"/>
          <w:lang w:val="en-US"/>
        </w:rPr>
        <w:t>septembre</w:t>
      </w:r>
      <w:proofErr w:type="spellEnd"/>
      <w:r w:rsidRPr="0002115C">
        <w:rPr>
          <w:iCs/>
          <w:sz w:val="24"/>
          <w:lang w:val="en-US"/>
        </w:rPr>
        <w:t>).</w:t>
      </w:r>
      <w:proofErr w:type="gramEnd"/>
      <w:r w:rsidRPr="0002115C">
        <w:rPr>
          <w:i/>
          <w:iCs/>
          <w:sz w:val="24"/>
          <w:lang w:val="en-US"/>
        </w:rPr>
        <w:t xml:space="preserve"> Comparative </w:t>
      </w:r>
      <w:proofErr w:type="gramStart"/>
      <w:r w:rsidRPr="0002115C">
        <w:rPr>
          <w:i/>
          <w:iCs/>
          <w:sz w:val="24"/>
          <w:lang w:val="en-US"/>
        </w:rPr>
        <w:t>Didactics :</w:t>
      </w:r>
      <w:proofErr w:type="gramEnd"/>
      <w:r w:rsidRPr="0002115C">
        <w:rPr>
          <w:i/>
          <w:iCs/>
          <w:sz w:val="24"/>
          <w:lang w:val="en-US"/>
        </w:rPr>
        <w:t xml:space="preserve"> Some Tools for Modelling the Manners of Teaching in Physical Education and Science Classrooms</w:t>
      </w:r>
      <w:r w:rsidRPr="0002115C">
        <w:rPr>
          <w:sz w:val="24"/>
          <w:lang w:val="en-US"/>
        </w:rPr>
        <w:t xml:space="preserve">. </w:t>
      </w:r>
      <w:r w:rsidRPr="0002115C">
        <w:rPr>
          <w:sz w:val="24"/>
          <w:lang w:val="fr-CI"/>
        </w:rPr>
        <w:t>Communication présentée au 22</w:t>
      </w:r>
      <w:r w:rsidRPr="0002115C">
        <w:rPr>
          <w:sz w:val="24"/>
          <w:vertAlign w:val="superscript"/>
          <w:lang w:val="fr-CI"/>
        </w:rPr>
        <w:t>e</w:t>
      </w:r>
      <w:r w:rsidRPr="0002115C">
        <w:rPr>
          <w:sz w:val="24"/>
          <w:lang w:val="fr-CI"/>
        </w:rPr>
        <w:t xml:space="preserve"> congrès ECER-EERA, Budapest, Hongrie.</w:t>
      </w:r>
    </w:p>
    <w:p w:rsidR="00ED64B8" w:rsidRPr="0002115C" w:rsidRDefault="00ED64B8" w:rsidP="00FF62E2">
      <w:pPr>
        <w:spacing w:after="0"/>
        <w:jc w:val="both"/>
        <w:rPr>
          <w:sz w:val="24"/>
          <w:lang w:val="fr-CI"/>
        </w:rPr>
      </w:pPr>
    </w:p>
    <w:p w:rsidR="00DB7394" w:rsidRPr="0002115C" w:rsidRDefault="00DB7394" w:rsidP="00FF62E2">
      <w:pPr>
        <w:spacing w:after="0"/>
        <w:jc w:val="both"/>
        <w:rPr>
          <w:sz w:val="24"/>
        </w:rPr>
      </w:pPr>
      <w:proofErr w:type="spellStart"/>
      <w:r w:rsidRPr="0002115C">
        <w:rPr>
          <w:sz w:val="24"/>
          <w:lang w:val="de-DE"/>
        </w:rPr>
        <w:t>Wickman</w:t>
      </w:r>
      <w:proofErr w:type="spellEnd"/>
      <w:r w:rsidRPr="0002115C">
        <w:rPr>
          <w:sz w:val="24"/>
          <w:lang w:val="de-DE"/>
        </w:rPr>
        <w:t xml:space="preserve">, P.-O., &amp; </w:t>
      </w:r>
      <w:proofErr w:type="spellStart"/>
      <w:r w:rsidRPr="0002115C">
        <w:rPr>
          <w:sz w:val="24"/>
          <w:lang w:val="de-DE"/>
        </w:rPr>
        <w:t>Östman</w:t>
      </w:r>
      <w:proofErr w:type="spellEnd"/>
      <w:r w:rsidRPr="0002115C">
        <w:rPr>
          <w:sz w:val="24"/>
          <w:lang w:val="de-DE"/>
        </w:rPr>
        <w:t xml:space="preserve">, L. (2002). </w:t>
      </w:r>
      <w:r w:rsidRPr="0002115C">
        <w:rPr>
          <w:sz w:val="24"/>
          <w:lang w:val="en-US"/>
        </w:rPr>
        <w:t xml:space="preserve">Learning as discourse change: A sociocultural mechanism. </w:t>
      </w:r>
      <w:r w:rsidRPr="0002115C">
        <w:rPr>
          <w:i/>
          <w:iCs/>
          <w:sz w:val="24"/>
        </w:rPr>
        <w:t>Science Education, 86</w:t>
      </w:r>
      <w:r w:rsidRPr="0002115C">
        <w:rPr>
          <w:sz w:val="24"/>
        </w:rPr>
        <w:t xml:space="preserve">, 601–623. Hoboken : John </w:t>
      </w:r>
      <w:proofErr w:type="spellStart"/>
      <w:r w:rsidRPr="0002115C">
        <w:rPr>
          <w:sz w:val="24"/>
        </w:rPr>
        <w:t>Wiley</w:t>
      </w:r>
      <w:proofErr w:type="spellEnd"/>
      <w:r w:rsidRPr="0002115C">
        <w:rPr>
          <w:sz w:val="24"/>
        </w:rPr>
        <w:t xml:space="preserve"> &amp; Sons.</w:t>
      </w:r>
    </w:p>
    <w:sectPr w:rsidR="00DB7394" w:rsidRPr="0002115C" w:rsidSect="00DB73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678D7"/>
    <w:multiLevelType w:val="hybridMultilevel"/>
    <w:tmpl w:val="94F046AA"/>
    <w:lvl w:ilvl="0" w:tplc="95D2045C">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
    <w:nsid w:val="2B227906"/>
    <w:multiLevelType w:val="hybridMultilevel"/>
    <w:tmpl w:val="6E08A49E"/>
    <w:lvl w:ilvl="0" w:tplc="AA80A122">
      <w:start w:val="1"/>
      <w:numFmt w:val="decimal"/>
      <w:lvlText w:val="%1."/>
      <w:lvlJc w:val="left"/>
      <w:pPr>
        <w:tabs>
          <w:tab w:val="num" w:pos="720"/>
        </w:tabs>
        <w:ind w:left="720" w:hanging="360"/>
      </w:pPr>
    </w:lvl>
    <w:lvl w:ilvl="1" w:tplc="131A4E88">
      <w:start w:val="1"/>
      <w:numFmt w:val="decimal"/>
      <w:lvlText w:val="%2."/>
      <w:lvlJc w:val="left"/>
      <w:pPr>
        <w:tabs>
          <w:tab w:val="num" w:pos="1440"/>
        </w:tabs>
        <w:ind w:left="1440" w:hanging="360"/>
      </w:pPr>
    </w:lvl>
    <w:lvl w:ilvl="2" w:tplc="3482A75E">
      <w:start w:val="1"/>
      <w:numFmt w:val="decimal"/>
      <w:lvlText w:val="%3."/>
      <w:lvlJc w:val="left"/>
      <w:pPr>
        <w:tabs>
          <w:tab w:val="num" w:pos="2160"/>
        </w:tabs>
        <w:ind w:left="2160" w:hanging="360"/>
      </w:pPr>
    </w:lvl>
    <w:lvl w:ilvl="3" w:tplc="561CFEEE">
      <w:start w:val="1"/>
      <w:numFmt w:val="decimal"/>
      <w:lvlText w:val="%4."/>
      <w:lvlJc w:val="left"/>
      <w:pPr>
        <w:tabs>
          <w:tab w:val="num" w:pos="2880"/>
        </w:tabs>
        <w:ind w:left="2880" w:hanging="360"/>
      </w:pPr>
    </w:lvl>
    <w:lvl w:ilvl="4" w:tplc="8342E572">
      <w:start w:val="1"/>
      <w:numFmt w:val="decimal"/>
      <w:lvlText w:val="%5."/>
      <w:lvlJc w:val="left"/>
      <w:pPr>
        <w:tabs>
          <w:tab w:val="num" w:pos="3600"/>
        </w:tabs>
        <w:ind w:left="3600" w:hanging="360"/>
      </w:pPr>
    </w:lvl>
    <w:lvl w:ilvl="5" w:tplc="0C626A5A">
      <w:start w:val="1"/>
      <w:numFmt w:val="decimal"/>
      <w:lvlText w:val="%6."/>
      <w:lvlJc w:val="left"/>
      <w:pPr>
        <w:tabs>
          <w:tab w:val="num" w:pos="4320"/>
        </w:tabs>
        <w:ind w:left="4320" w:hanging="360"/>
      </w:pPr>
    </w:lvl>
    <w:lvl w:ilvl="6" w:tplc="6460482E">
      <w:start w:val="1"/>
      <w:numFmt w:val="decimal"/>
      <w:lvlText w:val="%7."/>
      <w:lvlJc w:val="left"/>
      <w:pPr>
        <w:tabs>
          <w:tab w:val="num" w:pos="5040"/>
        </w:tabs>
        <w:ind w:left="5040" w:hanging="360"/>
      </w:pPr>
    </w:lvl>
    <w:lvl w:ilvl="7" w:tplc="85EAC4E8">
      <w:start w:val="1"/>
      <w:numFmt w:val="decimal"/>
      <w:lvlText w:val="%8."/>
      <w:lvlJc w:val="left"/>
      <w:pPr>
        <w:tabs>
          <w:tab w:val="num" w:pos="5760"/>
        </w:tabs>
        <w:ind w:left="5760" w:hanging="360"/>
      </w:pPr>
    </w:lvl>
    <w:lvl w:ilvl="8" w:tplc="9A449862">
      <w:start w:val="1"/>
      <w:numFmt w:val="decimal"/>
      <w:lvlText w:val="%9."/>
      <w:lvlJc w:val="left"/>
      <w:pPr>
        <w:tabs>
          <w:tab w:val="num" w:pos="6480"/>
        </w:tabs>
        <w:ind w:left="6480" w:hanging="360"/>
      </w:pPr>
    </w:lvl>
  </w:abstractNum>
  <w:abstractNum w:abstractNumId="2">
    <w:nsid w:val="36AD493B"/>
    <w:multiLevelType w:val="hybridMultilevel"/>
    <w:tmpl w:val="588671A0"/>
    <w:lvl w:ilvl="0" w:tplc="9DFC5870">
      <w:start w:val="1"/>
      <w:numFmt w:val="decimal"/>
      <w:lvlText w:val="%1."/>
      <w:lvlJc w:val="left"/>
      <w:pPr>
        <w:tabs>
          <w:tab w:val="num" w:pos="720"/>
        </w:tabs>
        <w:ind w:left="720" w:hanging="360"/>
      </w:pPr>
    </w:lvl>
    <w:lvl w:ilvl="1" w:tplc="25466A8A">
      <w:start w:val="1"/>
      <w:numFmt w:val="decimal"/>
      <w:lvlText w:val="%2."/>
      <w:lvlJc w:val="left"/>
      <w:pPr>
        <w:tabs>
          <w:tab w:val="num" w:pos="1440"/>
        </w:tabs>
        <w:ind w:left="1440" w:hanging="360"/>
      </w:pPr>
    </w:lvl>
    <w:lvl w:ilvl="2" w:tplc="8BE2FC70">
      <w:start w:val="1"/>
      <w:numFmt w:val="decimal"/>
      <w:lvlText w:val="%3."/>
      <w:lvlJc w:val="left"/>
      <w:pPr>
        <w:tabs>
          <w:tab w:val="num" w:pos="2160"/>
        </w:tabs>
        <w:ind w:left="2160" w:hanging="360"/>
      </w:pPr>
    </w:lvl>
    <w:lvl w:ilvl="3" w:tplc="01A0C942">
      <w:start w:val="1"/>
      <w:numFmt w:val="decimal"/>
      <w:lvlText w:val="%4."/>
      <w:lvlJc w:val="left"/>
      <w:pPr>
        <w:tabs>
          <w:tab w:val="num" w:pos="2880"/>
        </w:tabs>
        <w:ind w:left="2880" w:hanging="360"/>
      </w:pPr>
    </w:lvl>
    <w:lvl w:ilvl="4" w:tplc="A71A39FE">
      <w:start w:val="1"/>
      <w:numFmt w:val="decimal"/>
      <w:lvlText w:val="%5."/>
      <w:lvlJc w:val="left"/>
      <w:pPr>
        <w:tabs>
          <w:tab w:val="num" w:pos="3600"/>
        </w:tabs>
        <w:ind w:left="3600" w:hanging="360"/>
      </w:pPr>
    </w:lvl>
    <w:lvl w:ilvl="5" w:tplc="3EF84110">
      <w:start w:val="1"/>
      <w:numFmt w:val="decimal"/>
      <w:lvlText w:val="%6."/>
      <w:lvlJc w:val="left"/>
      <w:pPr>
        <w:tabs>
          <w:tab w:val="num" w:pos="4320"/>
        </w:tabs>
        <w:ind w:left="4320" w:hanging="360"/>
      </w:pPr>
    </w:lvl>
    <w:lvl w:ilvl="6" w:tplc="5FD4A924">
      <w:start w:val="1"/>
      <w:numFmt w:val="decimal"/>
      <w:lvlText w:val="%7."/>
      <w:lvlJc w:val="left"/>
      <w:pPr>
        <w:tabs>
          <w:tab w:val="num" w:pos="5040"/>
        </w:tabs>
        <w:ind w:left="5040" w:hanging="360"/>
      </w:pPr>
    </w:lvl>
    <w:lvl w:ilvl="7" w:tplc="705CE200">
      <w:start w:val="1"/>
      <w:numFmt w:val="decimal"/>
      <w:lvlText w:val="%8."/>
      <w:lvlJc w:val="left"/>
      <w:pPr>
        <w:tabs>
          <w:tab w:val="num" w:pos="5760"/>
        </w:tabs>
        <w:ind w:left="5760" w:hanging="360"/>
      </w:pPr>
    </w:lvl>
    <w:lvl w:ilvl="8" w:tplc="CF7C6EA6">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394"/>
    <w:rsid w:val="0002115C"/>
    <w:rsid w:val="000341D4"/>
    <w:rsid w:val="00062434"/>
    <w:rsid w:val="00066DE0"/>
    <w:rsid w:val="00124A36"/>
    <w:rsid w:val="00131FDA"/>
    <w:rsid w:val="001F5172"/>
    <w:rsid w:val="00304B24"/>
    <w:rsid w:val="006651C2"/>
    <w:rsid w:val="006E0D20"/>
    <w:rsid w:val="007E4DE1"/>
    <w:rsid w:val="007F633B"/>
    <w:rsid w:val="008C1D5B"/>
    <w:rsid w:val="00B50BD9"/>
    <w:rsid w:val="00B60B04"/>
    <w:rsid w:val="00BA1D20"/>
    <w:rsid w:val="00BD310D"/>
    <w:rsid w:val="00C941FD"/>
    <w:rsid w:val="00CB7920"/>
    <w:rsid w:val="00D104D5"/>
    <w:rsid w:val="00DB7394"/>
    <w:rsid w:val="00EA75C9"/>
    <w:rsid w:val="00ED64B8"/>
    <w:rsid w:val="00FF4C7E"/>
    <w:rsid w:val="00FF6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Calibri"/>
      <w:sz w:val="22"/>
      <w:szCs w:val="22"/>
      <w:lang w:eastAsia="en-US"/>
    </w:rPr>
  </w:style>
  <w:style w:type="paragraph" w:styleId="Titre1">
    <w:name w:val="heading 1"/>
    <w:basedOn w:val="Normal"/>
    <w:next w:val="Normal"/>
    <w:link w:val="Titre1Car"/>
    <w:uiPriority w:val="99"/>
    <w:qFormat/>
    <w:pPr>
      <w:keepNext/>
      <w:outlineLvl w:val="0"/>
    </w:pPr>
    <w:rPr>
      <w:b/>
      <w:bCs/>
      <w:lang w:val="fr-C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DB7394"/>
    <w:rPr>
      <w:rFonts w:ascii="Cambria" w:eastAsia="Times New Roman" w:hAnsi="Cambria" w:cs="Times New Roman"/>
      <w:b/>
      <w:bCs/>
      <w:kern w:val="32"/>
      <w:sz w:val="32"/>
      <w:szCs w:val="32"/>
      <w:lang w:val="fr-FR"/>
    </w:rPr>
  </w:style>
  <w:style w:type="character" w:customStyle="1" w:styleId="highlightedsearchterm">
    <w:name w:val="highlightedsearchterm"/>
    <w:uiPriority w:val="99"/>
    <w:rPr>
      <w:rFonts w:ascii="Times New Roman" w:hAnsi="Times New Roman" w:cs="Times New Roman"/>
    </w:rPr>
  </w:style>
  <w:style w:type="paragraph" w:styleId="Corpsdetexte">
    <w:name w:val="Body Text"/>
    <w:basedOn w:val="Normal"/>
    <w:link w:val="CorpsdetexteCar"/>
    <w:uiPriority w:val="99"/>
    <w:rPr>
      <w:i/>
      <w:iCs/>
      <w:lang w:val="fr-CI"/>
    </w:rPr>
  </w:style>
  <w:style w:type="character" w:customStyle="1" w:styleId="CorpsdetexteCar">
    <w:name w:val="Corps de texte Car"/>
    <w:link w:val="Corpsdetexte"/>
    <w:uiPriority w:val="99"/>
    <w:semiHidden/>
    <w:rsid w:val="00DB7394"/>
    <w:rPr>
      <w:rFonts w:ascii="Calibri" w:hAnsi="Calibri" w:cs="Calibri"/>
      <w:lang w:val="fr-FR"/>
    </w:rPr>
  </w:style>
  <w:style w:type="paragraph" w:styleId="Corpsdetexte2">
    <w:name w:val="Body Text 2"/>
    <w:basedOn w:val="Normal"/>
    <w:link w:val="Corpsdetexte2Car"/>
    <w:uiPriority w:val="99"/>
    <w:rPr>
      <w:b/>
      <w:bCs/>
      <w:lang w:val="fr-CI"/>
    </w:rPr>
  </w:style>
  <w:style w:type="character" w:customStyle="1" w:styleId="Corpsdetexte2Car">
    <w:name w:val="Corps de texte 2 Car"/>
    <w:link w:val="Corpsdetexte2"/>
    <w:uiPriority w:val="99"/>
    <w:semiHidden/>
    <w:rsid w:val="00DB7394"/>
    <w:rPr>
      <w:rFonts w:ascii="Calibri" w:hAnsi="Calibri" w:cs="Calibri"/>
      <w:lang w:val="fr-FR"/>
    </w:rPr>
  </w:style>
  <w:style w:type="character" w:styleId="Lienhypertexte">
    <w:name w:val="Hyperlink"/>
    <w:uiPriority w:val="99"/>
    <w:rPr>
      <w:color w:val="0000FF"/>
      <w:u w:val="single"/>
    </w:rPr>
  </w:style>
  <w:style w:type="paragraph" w:styleId="NormalWeb">
    <w:name w:val="Normal (Web)"/>
    <w:basedOn w:val="Normal"/>
    <w:uiPriority w:val="99"/>
    <w:pPr>
      <w:spacing w:before="100" w:beforeAutospacing="1" w:after="100" w:afterAutospacing="1" w:line="240" w:lineRule="auto"/>
    </w:pPr>
    <w:rPr>
      <w:rFonts w:ascii="Arial Unicode MS" w:hAnsi="Arial Unicode MS" w:cs="Arial Unicode MS"/>
      <w:sz w:val="24"/>
      <w:szCs w:val="24"/>
      <w:lang w:eastAsia="fr-FR"/>
    </w:rPr>
  </w:style>
  <w:style w:type="character" w:styleId="Lienhypertextesuivivisit">
    <w:name w:val="FollowedHyperlink"/>
    <w:uiPriority w:val="99"/>
    <w:rPr>
      <w:rFonts w:cs="Times New Roman"/>
      <w:color w:val="800080"/>
      <w:u w:val="single"/>
    </w:rPr>
  </w:style>
  <w:style w:type="paragraph" w:styleId="Textedebulles">
    <w:name w:val="Balloon Text"/>
    <w:basedOn w:val="Normal"/>
    <w:link w:val="TextedebullesCar"/>
    <w:uiPriority w:val="99"/>
    <w:semiHidden/>
    <w:unhideWhenUsed/>
    <w:rsid w:val="00066D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6DE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Calibri"/>
      <w:sz w:val="22"/>
      <w:szCs w:val="22"/>
      <w:lang w:eastAsia="en-US"/>
    </w:rPr>
  </w:style>
  <w:style w:type="paragraph" w:styleId="Titre1">
    <w:name w:val="heading 1"/>
    <w:basedOn w:val="Normal"/>
    <w:next w:val="Normal"/>
    <w:link w:val="Titre1Car"/>
    <w:uiPriority w:val="99"/>
    <w:qFormat/>
    <w:pPr>
      <w:keepNext/>
      <w:outlineLvl w:val="0"/>
    </w:pPr>
    <w:rPr>
      <w:b/>
      <w:bCs/>
      <w:lang w:val="fr-C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DB7394"/>
    <w:rPr>
      <w:rFonts w:ascii="Cambria" w:eastAsia="Times New Roman" w:hAnsi="Cambria" w:cs="Times New Roman"/>
      <w:b/>
      <w:bCs/>
      <w:kern w:val="32"/>
      <w:sz w:val="32"/>
      <w:szCs w:val="32"/>
      <w:lang w:val="fr-FR"/>
    </w:rPr>
  </w:style>
  <w:style w:type="character" w:customStyle="1" w:styleId="highlightedsearchterm">
    <w:name w:val="highlightedsearchterm"/>
    <w:uiPriority w:val="99"/>
    <w:rPr>
      <w:rFonts w:ascii="Times New Roman" w:hAnsi="Times New Roman" w:cs="Times New Roman"/>
    </w:rPr>
  </w:style>
  <w:style w:type="paragraph" w:styleId="Corpsdetexte">
    <w:name w:val="Body Text"/>
    <w:basedOn w:val="Normal"/>
    <w:link w:val="CorpsdetexteCar"/>
    <w:uiPriority w:val="99"/>
    <w:rPr>
      <w:i/>
      <w:iCs/>
      <w:lang w:val="fr-CI"/>
    </w:rPr>
  </w:style>
  <w:style w:type="character" w:customStyle="1" w:styleId="CorpsdetexteCar">
    <w:name w:val="Corps de texte Car"/>
    <w:link w:val="Corpsdetexte"/>
    <w:uiPriority w:val="99"/>
    <w:semiHidden/>
    <w:rsid w:val="00DB7394"/>
    <w:rPr>
      <w:rFonts w:ascii="Calibri" w:hAnsi="Calibri" w:cs="Calibri"/>
      <w:lang w:val="fr-FR"/>
    </w:rPr>
  </w:style>
  <w:style w:type="paragraph" w:styleId="Corpsdetexte2">
    <w:name w:val="Body Text 2"/>
    <w:basedOn w:val="Normal"/>
    <w:link w:val="Corpsdetexte2Car"/>
    <w:uiPriority w:val="99"/>
    <w:rPr>
      <w:b/>
      <w:bCs/>
      <w:lang w:val="fr-CI"/>
    </w:rPr>
  </w:style>
  <w:style w:type="character" w:customStyle="1" w:styleId="Corpsdetexte2Car">
    <w:name w:val="Corps de texte 2 Car"/>
    <w:link w:val="Corpsdetexte2"/>
    <w:uiPriority w:val="99"/>
    <w:semiHidden/>
    <w:rsid w:val="00DB7394"/>
    <w:rPr>
      <w:rFonts w:ascii="Calibri" w:hAnsi="Calibri" w:cs="Calibri"/>
      <w:lang w:val="fr-FR"/>
    </w:rPr>
  </w:style>
  <w:style w:type="character" w:styleId="Lienhypertexte">
    <w:name w:val="Hyperlink"/>
    <w:uiPriority w:val="99"/>
    <w:rPr>
      <w:color w:val="0000FF"/>
      <w:u w:val="single"/>
    </w:rPr>
  </w:style>
  <w:style w:type="paragraph" w:styleId="NormalWeb">
    <w:name w:val="Normal (Web)"/>
    <w:basedOn w:val="Normal"/>
    <w:uiPriority w:val="99"/>
    <w:pPr>
      <w:spacing w:before="100" w:beforeAutospacing="1" w:after="100" w:afterAutospacing="1" w:line="240" w:lineRule="auto"/>
    </w:pPr>
    <w:rPr>
      <w:rFonts w:ascii="Arial Unicode MS" w:hAnsi="Arial Unicode MS" w:cs="Arial Unicode MS"/>
      <w:sz w:val="24"/>
      <w:szCs w:val="24"/>
      <w:lang w:eastAsia="fr-FR"/>
    </w:rPr>
  </w:style>
  <w:style w:type="character" w:styleId="Lienhypertextesuivivisit">
    <w:name w:val="FollowedHyperlink"/>
    <w:uiPriority w:val="99"/>
    <w:rPr>
      <w:rFonts w:cs="Times New Roman"/>
      <w:color w:val="800080"/>
      <w:u w:val="single"/>
    </w:rPr>
  </w:style>
  <w:style w:type="paragraph" w:styleId="Textedebulles">
    <w:name w:val="Balloon Text"/>
    <w:basedOn w:val="Normal"/>
    <w:link w:val="TextedebullesCar"/>
    <w:uiPriority w:val="99"/>
    <w:semiHidden/>
    <w:unhideWhenUsed/>
    <w:rsid w:val="00066D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6DE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1088</Words>
  <Characters>5985</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un titre, 5 mots-clés, un résumé de 200 mots suivi d’un texte de 1000 mots maximum (incluant les références bibliographiques) </vt:lpstr>
    </vt:vector>
  </TitlesOfParts>
  <Company>ufc</Company>
  <LinksUpToDate>false</LinksUpToDate>
  <CharactersWithSpaces>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titre, 5 mots-clés, un résumé de 200 mots suivi d’un texte de 1000 mots maximum (incluant les références bibliographiques) </dc:title>
  <dc:subject/>
  <dc:creator>admin</dc:creator>
  <cp:keywords/>
  <dc:description/>
  <cp:lastModifiedBy>admin</cp:lastModifiedBy>
  <cp:revision>3</cp:revision>
  <cp:lastPrinted>2015-09-17T10:02:00Z</cp:lastPrinted>
  <dcterms:created xsi:type="dcterms:W3CDTF">2010-01-27T10:09:00Z</dcterms:created>
  <dcterms:modified xsi:type="dcterms:W3CDTF">2010-01-27T10:10:00Z</dcterms:modified>
</cp:coreProperties>
</file>