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76FFA" w14:textId="3D2DA260" w:rsidR="00A86426" w:rsidRDefault="00944E3B" w:rsidP="00944E3B">
      <w:pPr>
        <w:jc w:val="center"/>
        <w:rPr>
          <w:rFonts w:ascii="Arial" w:hAnsi="Arial" w:cs="Arial"/>
          <w:b/>
          <w:sz w:val="24"/>
          <w:szCs w:val="24"/>
        </w:rPr>
      </w:pPr>
      <w:r w:rsidRPr="0003639F">
        <w:rPr>
          <w:rFonts w:ascii="Arial" w:hAnsi="Arial" w:cs="Arial"/>
          <w:b/>
          <w:sz w:val="24"/>
          <w:szCs w:val="24"/>
        </w:rPr>
        <w:t xml:space="preserve">Des </w:t>
      </w:r>
      <w:r w:rsidR="00A86426" w:rsidRPr="0003639F">
        <w:rPr>
          <w:rFonts w:ascii="Arial" w:hAnsi="Arial" w:cs="Arial"/>
          <w:b/>
          <w:sz w:val="24"/>
          <w:szCs w:val="24"/>
        </w:rPr>
        <w:t>milieux pour la formation</w:t>
      </w:r>
      <w:r w:rsidRPr="0003639F">
        <w:rPr>
          <w:rFonts w:ascii="Arial" w:hAnsi="Arial" w:cs="Arial"/>
          <w:b/>
          <w:sz w:val="24"/>
          <w:szCs w:val="24"/>
        </w:rPr>
        <w:t xml:space="preserve"> dans différentes didactiques : une question comparatiste</w:t>
      </w:r>
    </w:p>
    <w:p w14:paraId="7FB179D2" w14:textId="4C5234D8" w:rsidR="00963ED4" w:rsidRPr="00963ED4" w:rsidRDefault="00963ED4" w:rsidP="00963ED4">
      <w:pPr>
        <w:spacing w:after="0" w:line="240" w:lineRule="auto"/>
        <w:rPr>
          <w:rFonts w:ascii="Arial" w:hAnsi="Arial" w:cs="Arial"/>
        </w:rPr>
      </w:pPr>
      <w:r w:rsidRPr="00963ED4">
        <w:rPr>
          <w:rFonts w:ascii="Arial" w:hAnsi="Arial" w:cs="Arial"/>
        </w:rPr>
        <w:t>Francia LEUTENEGGER, coordinatrice symposium (Université de Genève, FPSE-SSED</w:t>
      </w:r>
      <w:r>
        <w:rPr>
          <w:rFonts w:ascii="Arial" w:hAnsi="Arial" w:cs="Arial"/>
        </w:rPr>
        <w:t>, GREDIC, Didactique Comparée</w:t>
      </w:r>
      <w:r w:rsidRPr="00963ED4">
        <w:rPr>
          <w:rFonts w:ascii="Arial" w:hAnsi="Arial" w:cs="Arial"/>
        </w:rPr>
        <w:t>)</w:t>
      </w:r>
    </w:p>
    <w:p w14:paraId="6B4BC9DF" w14:textId="56A3175D" w:rsidR="00963ED4" w:rsidRPr="00963ED4" w:rsidRDefault="00963ED4" w:rsidP="00963ED4">
      <w:pPr>
        <w:widowControl w:val="0"/>
        <w:autoSpaceDE w:val="0"/>
        <w:autoSpaceDN w:val="0"/>
        <w:adjustRightInd w:val="0"/>
        <w:spacing w:after="0" w:line="240" w:lineRule="auto"/>
        <w:rPr>
          <w:rFonts w:ascii="Arial" w:hAnsi="Arial" w:cs="Arial"/>
          <w:lang w:val="fr-FR"/>
        </w:rPr>
      </w:pPr>
      <w:r w:rsidRPr="00963ED4">
        <w:rPr>
          <w:rFonts w:ascii="Arial" w:hAnsi="Arial" w:cs="Arial"/>
        </w:rPr>
        <w:t>Nicole AWAIS (</w:t>
      </w:r>
      <w:r>
        <w:rPr>
          <w:rFonts w:ascii="Arial" w:hAnsi="Arial" w:cs="Arial"/>
          <w:lang w:val="fr-FR"/>
        </w:rPr>
        <w:t>E</w:t>
      </w:r>
      <w:r w:rsidRPr="00963ED4">
        <w:rPr>
          <w:rFonts w:ascii="Arial" w:hAnsi="Arial" w:cs="Arial"/>
          <w:lang w:val="fr-FR"/>
        </w:rPr>
        <w:t xml:space="preserve">ducation et formation, </w:t>
      </w:r>
      <w:r w:rsidRPr="00963ED4">
        <w:rPr>
          <w:rFonts w:ascii="Arial" w:hAnsi="Arial" w:cs="Arial"/>
          <w:bCs/>
          <w:lang w:val="fr-FR"/>
        </w:rPr>
        <w:t>Enfants du Monde</w:t>
      </w:r>
      <w:r>
        <w:rPr>
          <w:rFonts w:ascii="Arial" w:hAnsi="Arial" w:cs="Arial"/>
          <w:bCs/>
          <w:lang w:val="fr-FR"/>
        </w:rPr>
        <w:t>, Genève, Didactique des sciences sociales</w:t>
      </w:r>
      <w:r w:rsidRPr="00963ED4">
        <w:rPr>
          <w:rFonts w:ascii="Arial" w:hAnsi="Arial" w:cs="Arial"/>
          <w:bCs/>
          <w:lang w:val="fr-FR"/>
        </w:rPr>
        <w:t>)</w:t>
      </w:r>
    </w:p>
    <w:p w14:paraId="70FC41FB" w14:textId="2A50F26B" w:rsidR="00963ED4" w:rsidRDefault="00963ED4" w:rsidP="00963ED4">
      <w:pPr>
        <w:spacing w:after="0" w:line="240" w:lineRule="auto"/>
        <w:rPr>
          <w:rFonts w:ascii="Arial" w:hAnsi="Arial" w:cs="Arial"/>
        </w:rPr>
      </w:pPr>
      <w:r w:rsidRPr="00963ED4">
        <w:rPr>
          <w:rFonts w:ascii="Arial" w:hAnsi="Arial" w:cs="Arial"/>
        </w:rPr>
        <w:t>Sylvie COPPÉ (Université de Genève, FPSE-SSED</w:t>
      </w:r>
      <w:r w:rsidR="00E503C1">
        <w:rPr>
          <w:rFonts w:ascii="Arial" w:hAnsi="Arial" w:cs="Arial"/>
        </w:rPr>
        <w:t>, DiMaGe</w:t>
      </w:r>
      <w:r>
        <w:rPr>
          <w:rFonts w:ascii="Arial" w:hAnsi="Arial" w:cs="Arial"/>
        </w:rPr>
        <w:t>, Didactique des mathématiques</w:t>
      </w:r>
      <w:r w:rsidRPr="00963ED4">
        <w:rPr>
          <w:rFonts w:ascii="Arial" w:hAnsi="Arial" w:cs="Arial"/>
        </w:rPr>
        <w:t>)</w:t>
      </w:r>
    </w:p>
    <w:p w14:paraId="31BED056" w14:textId="18B98067" w:rsidR="00963ED4" w:rsidRDefault="00963ED4" w:rsidP="00963ED4">
      <w:pPr>
        <w:spacing w:after="0" w:line="240" w:lineRule="auto"/>
        <w:rPr>
          <w:rFonts w:ascii="Arial" w:hAnsi="Arial" w:cs="Arial"/>
        </w:rPr>
      </w:pPr>
      <w:r>
        <w:rPr>
          <w:rFonts w:ascii="Arial" w:hAnsi="Arial" w:cs="Arial"/>
        </w:rPr>
        <w:t>Cédric FLUCKIGER (Unversité Lille 3, Théodile-CIREL, Didactique de l’informatique)</w:t>
      </w:r>
    </w:p>
    <w:p w14:paraId="1F7FA212" w14:textId="11E71DC1" w:rsidR="00963ED4" w:rsidRPr="00963ED4" w:rsidRDefault="00963ED4" w:rsidP="00963ED4">
      <w:pPr>
        <w:spacing w:after="0" w:line="240" w:lineRule="auto"/>
        <w:rPr>
          <w:rFonts w:ascii="Arial" w:hAnsi="Arial" w:cs="Arial"/>
          <w:b/>
        </w:rPr>
      </w:pPr>
      <w:r>
        <w:rPr>
          <w:rFonts w:ascii="Arial" w:hAnsi="Arial" w:cs="Arial"/>
        </w:rPr>
        <w:t xml:space="preserve">Benoît LENZEN (Université de Genève, FPSE-SSED, </w:t>
      </w:r>
      <w:r w:rsidRPr="00963ED4">
        <w:rPr>
          <w:rStyle w:val="lev"/>
          <w:rFonts w:ascii="Arial" w:eastAsia="Times New Roman" w:hAnsi="Arial" w:cs="Arial"/>
          <w:b w:val="0"/>
        </w:rPr>
        <w:t>DEEP.Ge</w:t>
      </w:r>
      <w:r>
        <w:rPr>
          <w:rStyle w:val="lev"/>
          <w:rFonts w:ascii="Arial" w:eastAsia="Times New Roman" w:hAnsi="Arial" w:cs="Arial"/>
          <w:b w:val="0"/>
        </w:rPr>
        <w:t>, Didactique de l’EPS)</w:t>
      </w:r>
    </w:p>
    <w:p w14:paraId="5786D950" w14:textId="77777777" w:rsidR="00963ED4" w:rsidRPr="00963ED4" w:rsidRDefault="00963ED4" w:rsidP="00963ED4">
      <w:pPr>
        <w:spacing w:after="0" w:line="240" w:lineRule="auto"/>
        <w:rPr>
          <w:rFonts w:ascii="Arial" w:hAnsi="Arial" w:cs="Arial"/>
        </w:rPr>
      </w:pPr>
    </w:p>
    <w:p w14:paraId="25DDD46A" w14:textId="77777777" w:rsidR="00963ED4" w:rsidRPr="00963ED4" w:rsidRDefault="00963ED4" w:rsidP="00963ED4">
      <w:pPr>
        <w:spacing w:after="0" w:line="240" w:lineRule="auto"/>
        <w:rPr>
          <w:rFonts w:ascii="Arial" w:hAnsi="Arial" w:cs="Arial"/>
        </w:rPr>
      </w:pPr>
    </w:p>
    <w:p w14:paraId="7B45C87B" w14:textId="1B182EF7" w:rsidR="00083588" w:rsidRPr="00963ED4" w:rsidRDefault="00083588" w:rsidP="0003639F">
      <w:pPr>
        <w:jc w:val="both"/>
        <w:rPr>
          <w:rFonts w:ascii="Arial" w:hAnsi="Arial" w:cs="Arial"/>
        </w:rPr>
      </w:pPr>
      <w:r w:rsidRPr="00963ED4">
        <w:rPr>
          <w:rFonts w:ascii="Arial" w:hAnsi="Arial" w:cs="Arial"/>
        </w:rPr>
        <w:t>Mots-clés : milieu ; pratiques de formation ; dispositif de formation ; spécificités disciplinaires ; généricités.</w:t>
      </w:r>
    </w:p>
    <w:p w14:paraId="032DB60B" w14:textId="16670F0D" w:rsidR="001326D2" w:rsidRDefault="0003639F" w:rsidP="00A86426">
      <w:pPr>
        <w:jc w:val="both"/>
        <w:rPr>
          <w:rFonts w:ascii="Arial" w:hAnsi="Arial" w:cs="Arial"/>
          <w:b/>
        </w:rPr>
      </w:pPr>
      <w:r>
        <w:rPr>
          <w:rFonts w:ascii="Arial" w:hAnsi="Arial" w:cs="Arial"/>
          <w:b/>
        </w:rPr>
        <w:t>Résumé court</w:t>
      </w:r>
    </w:p>
    <w:p w14:paraId="4AB17F22" w14:textId="43246063" w:rsidR="0003639F" w:rsidRDefault="0003639F" w:rsidP="00A86426">
      <w:pPr>
        <w:jc w:val="both"/>
        <w:rPr>
          <w:rFonts w:ascii="Arial" w:hAnsi="Arial" w:cs="Arial"/>
          <w:b/>
        </w:rPr>
      </w:pPr>
      <w:r>
        <w:rPr>
          <w:rFonts w:ascii="Arial" w:hAnsi="Arial" w:cs="Arial"/>
        </w:rPr>
        <w:t xml:space="preserve">Ce symposium s’inscrit dans la deuxième thématique du colloque </w:t>
      </w:r>
      <w:r w:rsidRPr="00083588">
        <w:rPr>
          <w:rFonts w:ascii="Arial" w:hAnsi="Arial" w:cs="Arial"/>
        </w:rPr>
        <w:t>(</w:t>
      </w:r>
      <w:r>
        <w:rPr>
          <w:rFonts w:ascii="Arial" w:hAnsi="Arial" w:cs="Arial"/>
        </w:rPr>
        <w:t>« </w:t>
      </w:r>
      <w:r w:rsidRPr="00083588">
        <w:rPr>
          <w:rFonts w:ascii="Arial" w:hAnsi="Arial" w:cs="Arial"/>
          <w:lang w:val="fr-FR"/>
        </w:rPr>
        <w:t xml:space="preserve">Analyses de pratiques de formation des </w:t>
      </w:r>
      <w:proofErr w:type="spellStart"/>
      <w:r w:rsidRPr="00083588">
        <w:rPr>
          <w:rFonts w:ascii="Arial" w:hAnsi="Arial" w:cs="Arial"/>
          <w:lang w:val="fr-FR"/>
        </w:rPr>
        <w:t>enseignant.e.s</w:t>
      </w:r>
      <w:proofErr w:type="spellEnd"/>
      <w:r>
        <w:rPr>
          <w:rFonts w:ascii="Arial" w:hAnsi="Arial" w:cs="Arial"/>
          <w:lang w:val="fr-FR"/>
        </w:rPr>
        <w:t xml:space="preserve"> ») et se centre sur la question du (ou des) milieu(x) pour la formation. Si la question du milieu (mathématiques ou plus généralement relatif aux objets de savoir) </w:t>
      </w:r>
      <w:r w:rsidR="00722FE7">
        <w:rPr>
          <w:rFonts w:ascii="Arial" w:hAnsi="Arial" w:cs="Arial"/>
          <w:lang w:val="fr-FR"/>
        </w:rPr>
        <w:t xml:space="preserve">ou d’élaboration de milieux pour l’enseignement de tel ou tel objet disciplinaire, </w:t>
      </w:r>
      <w:r>
        <w:rPr>
          <w:rFonts w:ascii="Arial" w:hAnsi="Arial" w:cs="Arial"/>
          <w:lang w:val="fr-FR"/>
        </w:rPr>
        <w:t>a été travaillée de longue date par les différentes d</w:t>
      </w:r>
      <w:r w:rsidR="00722FE7">
        <w:rPr>
          <w:rFonts w:ascii="Arial" w:hAnsi="Arial" w:cs="Arial"/>
          <w:lang w:val="fr-FR"/>
        </w:rPr>
        <w:t>idactiques disciplinaires, la</w:t>
      </w:r>
      <w:r>
        <w:rPr>
          <w:rFonts w:ascii="Arial" w:hAnsi="Arial" w:cs="Arial"/>
          <w:lang w:val="fr-FR"/>
        </w:rPr>
        <w:t xml:space="preserve"> </w:t>
      </w:r>
      <w:r w:rsidR="00722FE7">
        <w:rPr>
          <w:rFonts w:ascii="Arial" w:hAnsi="Arial" w:cs="Arial"/>
          <w:lang w:val="fr-FR"/>
        </w:rPr>
        <w:t>notion de milieu</w:t>
      </w:r>
      <w:r>
        <w:rPr>
          <w:rFonts w:ascii="Arial" w:hAnsi="Arial" w:cs="Arial"/>
          <w:lang w:val="fr-FR"/>
        </w:rPr>
        <w:t xml:space="preserve"> </w:t>
      </w:r>
      <w:r w:rsidR="00722FE7">
        <w:rPr>
          <w:rFonts w:ascii="Arial" w:hAnsi="Arial" w:cs="Arial"/>
          <w:lang w:val="fr-FR"/>
        </w:rPr>
        <w:t xml:space="preserve">pour la formation à l’enseignement </w:t>
      </w:r>
      <w:r>
        <w:rPr>
          <w:rFonts w:ascii="Arial" w:hAnsi="Arial" w:cs="Arial"/>
          <w:lang w:val="fr-FR"/>
        </w:rPr>
        <w:t xml:space="preserve">nous semble devoir être </w:t>
      </w:r>
      <w:r w:rsidR="00722FE7">
        <w:rPr>
          <w:rFonts w:ascii="Arial" w:hAnsi="Arial" w:cs="Arial"/>
          <w:lang w:val="fr-FR"/>
        </w:rPr>
        <w:t>approfondie. C</w:t>
      </w:r>
      <w:r>
        <w:rPr>
          <w:rFonts w:ascii="Arial" w:hAnsi="Arial" w:cs="Arial"/>
          <w:lang w:val="fr-FR"/>
        </w:rPr>
        <w:t xml:space="preserve">e symposium se propose de revisiter cette notion </w:t>
      </w:r>
      <w:r>
        <w:rPr>
          <w:rFonts w:ascii="Arial" w:hAnsi="Arial" w:cs="Arial"/>
        </w:rPr>
        <w:t>en examinant l’élaboration de milieux, non plus pour les systèmes didactiques relatifs à tel ou tel objet de savoir, mais pour les systèmes de formation à l’enseignement. Quel</w:t>
      </w:r>
      <w:r w:rsidR="00722FE7">
        <w:rPr>
          <w:rFonts w:ascii="Arial" w:hAnsi="Arial" w:cs="Arial"/>
        </w:rPr>
        <w:t>s</w:t>
      </w:r>
      <w:r>
        <w:rPr>
          <w:rFonts w:ascii="Arial" w:hAnsi="Arial" w:cs="Arial"/>
        </w:rPr>
        <w:t xml:space="preserve"> milieu</w:t>
      </w:r>
      <w:r w:rsidR="00722FE7">
        <w:rPr>
          <w:rFonts w:ascii="Arial" w:hAnsi="Arial" w:cs="Arial"/>
        </w:rPr>
        <w:t>x</w:t>
      </w:r>
      <w:r>
        <w:rPr>
          <w:rFonts w:ascii="Arial" w:hAnsi="Arial" w:cs="Arial"/>
        </w:rPr>
        <w:t xml:space="preserve"> </w:t>
      </w:r>
      <w:r w:rsidR="00722FE7">
        <w:rPr>
          <w:rFonts w:ascii="Arial" w:hAnsi="Arial" w:cs="Arial"/>
        </w:rPr>
        <w:t>sont</w:t>
      </w:r>
      <w:r>
        <w:rPr>
          <w:rFonts w:ascii="Arial" w:hAnsi="Arial" w:cs="Arial"/>
        </w:rPr>
        <w:t xml:space="preserve"> élaboré</w:t>
      </w:r>
      <w:r w:rsidR="00722FE7">
        <w:rPr>
          <w:rFonts w:ascii="Arial" w:hAnsi="Arial" w:cs="Arial"/>
        </w:rPr>
        <w:t>s</w:t>
      </w:r>
      <w:r>
        <w:rPr>
          <w:rFonts w:ascii="Arial" w:hAnsi="Arial" w:cs="Arial"/>
        </w:rPr>
        <w:t xml:space="preserve"> par le formateur en vue de modifier le rapport des formés aux objets d’enseignement et d’apprentissage </w:t>
      </w:r>
      <w:r w:rsidR="00722FE7">
        <w:rPr>
          <w:rFonts w:ascii="Arial" w:hAnsi="Arial" w:cs="Arial"/>
        </w:rPr>
        <w:t xml:space="preserve">et, plus largement, aux conditions d’enseignement </w:t>
      </w:r>
      <w:r>
        <w:rPr>
          <w:rFonts w:ascii="Arial" w:hAnsi="Arial" w:cs="Arial"/>
        </w:rPr>
        <w:t xml:space="preserve">? </w:t>
      </w:r>
      <w:r w:rsidR="00722FE7">
        <w:rPr>
          <w:rFonts w:ascii="Arial" w:hAnsi="Arial" w:cs="Arial"/>
        </w:rPr>
        <w:t xml:space="preserve">Quel emboîtement, du reste entre milieu pour l’enseignement et milieu pour la formation à des savoirs didactiques ? </w:t>
      </w:r>
      <w:r>
        <w:rPr>
          <w:rFonts w:ascii="Arial" w:hAnsi="Arial" w:cs="Arial"/>
        </w:rPr>
        <w:t>Telle</w:t>
      </w:r>
      <w:r w:rsidR="00722FE7">
        <w:rPr>
          <w:rFonts w:ascii="Arial" w:hAnsi="Arial" w:cs="Arial"/>
        </w:rPr>
        <w:t>s</w:t>
      </w:r>
      <w:r>
        <w:rPr>
          <w:rFonts w:ascii="Arial" w:hAnsi="Arial" w:cs="Arial"/>
        </w:rPr>
        <w:t xml:space="preserve"> </w:t>
      </w:r>
      <w:r w:rsidR="00722FE7">
        <w:rPr>
          <w:rFonts w:ascii="Arial" w:hAnsi="Arial" w:cs="Arial"/>
        </w:rPr>
        <w:t>sont</w:t>
      </w:r>
      <w:r>
        <w:rPr>
          <w:rFonts w:ascii="Arial" w:hAnsi="Arial" w:cs="Arial"/>
        </w:rPr>
        <w:t xml:space="preserve"> le</w:t>
      </w:r>
      <w:r w:rsidR="00722FE7">
        <w:rPr>
          <w:rFonts w:ascii="Arial" w:hAnsi="Arial" w:cs="Arial"/>
        </w:rPr>
        <w:t>s</w:t>
      </w:r>
      <w:r>
        <w:rPr>
          <w:rFonts w:ascii="Arial" w:hAnsi="Arial" w:cs="Arial"/>
        </w:rPr>
        <w:t xml:space="preserve"> type</w:t>
      </w:r>
      <w:r w:rsidR="00722FE7">
        <w:rPr>
          <w:rFonts w:ascii="Arial" w:hAnsi="Arial" w:cs="Arial"/>
        </w:rPr>
        <w:t>s</w:t>
      </w:r>
      <w:r>
        <w:rPr>
          <w:rFonts w:ascii="Arial" w:hAnsi="Arial" w:cs="Arial"/>
        </w:rPr>
        <w:t xml:space="preserve"> de questionnement</w:t>
      </w:r>
      <w:r w:rsidR="00722FE7">
        <w:rPr>
          <w:rFonts w:ascii="Arial" w:hAnsi="Arial" w:cs="Arial"/>
        </w:rPr>
        <w:t>s</w:t>
      </w:r>
      <w:r>
        <w:rPr>
          <w:rFonts w:ascii="Arial" w:hAnsi="Arial" w:cs="Arial"/>
        </w:rPr>
        <w:t xml:space="preserve"> que ce symposium propose d’aborder à travers </w:t>
      </w:r>
      <w:r w:rsidR="00722FE7">
        <w:rPr>
          <w:rFonts w:ascii="Arial" w:hAnsi="Arial" w:cs="Arial"/>
        </w:rPr>
        <w:t>les contributions de quatre didact</w:t>
      </w:r>
      <w:r>
        <w:rPr>
          <w:rFonts w:ascii="Arial" w:hAnsi="Arial" w:cs="Arial"/>
        </w:rPr>
        <w:t>i</w:t>
      </w:r>
      <w:r w:rsidR="00722FE7">
        <w:rPr>
          <w:rFonts w:ascii="Arial" w:hAnsi="Arial" w:cs="Arial"/>
        </w:rPr>
        <w:t>q</w:t>
      </w:r>
      <w:r>
        <w:rPr>
          <w:rFonts w:ascii="Arial" w:hAnsi="Arial" w:cs="Arial"/>
        </w:rPr>
        <w:t>ues disciplinaires</w:t>
      </w:r>
      <w:r w:rsidR="00722FE7">
        <w:rPr>
          <w:rFonts w:ascii="Arial" w:hAnsi="Arial" w:cs="Arial"/>
        </w:rPr>
        <w:t xml:space="preserve"> : celles des mathématiques, de l’EPS, de l’informatique et des sciences humaines et sociales. </w:t>
      </w:r>
    </w:p>
    <w:p w14:paraId="6E5F9B6A" w14:textId="77F78352" w:rsidR="00A86426" w:rsidRPr="00A86426" w:rsidRDefault="00963ED4" w:rsidP="00A86426">
      <w:pPr>
        <w:jc w:val="both"/>
        <w:rPr>
          <w:rFonts w:ascii="Arial" w:hAnsi="Arial" w:cs="Arial"/>
          <w:b/>
        </w:rPr>
      </w:pPr>
      <w:r>
        <w:rPr>
          <w:rFonts w:ascii="Arial" w:hAnsi="Arial" w:cs="Arial"/>
          <w:b/>
        </w:rPr>
        <w:t xml:space="preserve">Texte </w:t>
      </w:r>
      <w:r w:rsidR="00A86426" w:rsidRPr="00A86426">
        <w:rPr>
          <w:rFonts w:ascii="Arial" w:hAnsi="Arial" w:cs="Arial"/>
          <w:b/>
        </w:rPr>
        <w:t>de cadrage</w:t>
      </w:r>
      <w:r w:rsidR="0003639F">
        <w:rPr>
          <w:rFonts w:ascii="Arial" w:hAnsi="Arial" w:cs="Arial"/>
          <w:b/>
        </w:rPr>
        <w:t xml:space="preserve"> (résumé long)</w:t>
      </w:r>
    </w:p>
    <w:p w14:paraId="64DA2A4A" w14:textId="4885EAC3" w:rsidR="00A86426" w:rsidRDefault="00083588" w:rsidP="00A86426">
      <w:pPr>
        <w:jc w:val="both"/>
        <w:rPr>
          <w:rFonts w:ascii="Arial" w:hAnsi="Arial" w:cs="Arial"/>
        </w:rPr>
      </w:pPr>
      <w:r>
        <w:rPr>
          <w:rFonts w:ascii="Arial" w:hAnsi="Arial" w:cs="Arial"/>
        </w:rPr>
        <w:t xml:space="preserve">Cette proposition de symposium s’inscrit dans la deuxième thématique du colloque </w:t>
      </w:r>
      <w:r w:rsidRPr="00083588">
        <w:rPr>
          <w:rFonts w:ascii="Arial" w:hAnsi="Arial" w:cs="Arial"/>
        </w:rPr>
        <w:t>(</w:t>
      </w:r>
      <w:r>
        <w:rPr>
          <w:rFonts w:ascii="Arial" w:hAnsi="Arial" w:cs="Arial"/>
        </w:rPr>
        <w:t>« </w:t>
      </w:r>
      <w:r w:rsidRPr="00083588">
        <w:rPr>
          <w:rFonts w:ascii="Arial" w:hAnsi="Arial" w:cs="Arial"/>
          <w:lang w:val="fr-FR"/>
        </w:rPr>
        <w:t xml:space="preserve">Analyses de pratiques de formation des </w:t>
      </w:r>
      <w:proofErr w:type="spellStart"/>
      <w:r w:rsidRPr="00083588">
        <w:rPr>
          <w:rFonts w:ascii="Arial" w:hAnsi="Arial" w:cs="Arial"/>
          <w:lang w:val="fr-FR"/>
        </w:rPr>
        <w:t>enseignant.e.s</w:t>
      </w:r>
      <w:proofErr w:type="spellEnd"/>
      <w:r>
        <w:rPr>
          <w:rFonts w:ascii="Arial" w:hAnsi="Arial" w:cs="Arial"/>
          <w:lang w:val="fr-FR"/>
        </w:rPr>
        <w:t xml:space="preserve"> ») et se centre sur la question du (ou des) milieu(x) pour la formation. </w:t>
      </w:r>
      <w:r>
        <w:rPr>
          <w:rFonts w:ascii="Arial" w:hAnsi="Arial" w:cs="Arial"/>
        </w:rPr>
        <w:t>Le texte de cadrage</w:t>
      </w:r>
      <w:r w:rsidR="00A86426">
        <w:rPr>
          <w:rFonts w:ascii="Arial" w:hAnsi="Arial" w:cs="Arial"/>
        </w:rPr>
        <w:t xml:space="preserve"> qui suit ne prétend aucunement baliser les travaux portant sur la question du </w:t>
      </w:r>
      <w:r w:rsidR="00A86426" w:rsidRPr="00A86426">
        <w:rPr>
          <w:rFonts w:ascii="Arial" w:hAnsi="Arial" w:cs="Arial"/>
          <w:i/>
        </w:rPr>
        <w:t>milieu</w:t>
      </w:r>
      <w:r w:rsidR="00A86426">
        <w:rPr>
          <w:rFonts w:ascii="Arial" w:hAnsi="Arial" w:cs="Arial"/>
        </w:rPr>
        <w:t xml:space="preserve">, cette thématique pouvant faire l’objet d’une contribution à </w:t>
      </w:r>
      <w:r>
        <w:rPr>
          <w:rFonts w:ascii="Arial" w:hAnsi="Arial" w:cs="Arial"/>
        </w:rPr>
        <w:t xml:space="preserve">plus </w:t>
      </w:r>
      <w:r w:rsidR="00A86426">
        <w:rPr>
          <w:rFonts w:ascii="Arial" w:hAnsi="Arial" w:cs="Arial"/>
        </w:rPr>
        <w:t>larg</w:t>
      </w:r>
      <w:r>
        <w:rPr>
          <w:rFonts w:ascii="Arial" w:hAnsi="Arial" w:cs="Arial"/>
        </w:rPr>
        <w:t>e échelle dans le cadre des recherches comparatistes en didactique</w:t>
      </w:r>
      <w:r w:rsidR="00A86426">
        <w:rPr>
          <w:rFonts w:ascii="Arial" w:hAnsi="Arial" w:cs="Arial"/>
        </w:rPr>
        <w:t xml:space="preserve">. Beaucoup plus modestement, il s’agit essentiellement ici de poser un cadre suffisamment commun pour élaborer </w:t>
      </w:r>
      <w:r w:rsidR="00944E3B">
        <w:rPr>
          <w:rFonts w:ascii="Arial" w:hAnsi="Arial" w:cs="Arial"/>
        </w:rPr>
        <w:t xml:space="preserve">les </w:t>
      </w:r>
      <w:r w:rsidR="00E912A6">
        <w:rPr>
          <w:rFonts w:ascii="Arial" w:hAnsi="Arial" w:cs="Arial"/>
        </w:rPr>
        <w:t xml:space="preserve">quatre </w:t>
      </w:r>
      <w:r w:rsidR="00944E3B">
        <w:rPr>
          <w:rFonts w:ascii="Arial" w:hAnsi="Arial" w:cs="Arial"/>
        </w:rPr>
        <w:t>contributions de ce symposium</w:t>
      </w:r>
      <w:r w:rsidR="004B0203">
        <w:rPr>
          <w:rFonts w:ascii="Arial" w:hAnsi="Arial" w:cs="Arial"/>
        </w:rPr>
        <w:t xml:space="preserve"> et ouvrir le débat au sein des différentes didactiques convoquées</w:t>
      </w:r>
      <w:r w:rsidR="00A86426">
        <w:rPr>
          <w:rFonts w:ascii="Arial" w:hAnsi="Arial" w:cs="Arial"/>
        </w:rPr>
        <w:t>.</w:t>
      </w:r>
    </w:p>
    <w:p w14:paraId="20955198" w14:textId="548C19B3" w:rsidR="00F96A9B" w:rsidRDefault="00A86426" w:rsidP="005533B3">
      <w:pPr>
        <w:jc w:val="both"/>
        <w:rPr>
          <w:rFonts w:ascii="Arial" w:hAnsi="Arial" w:cs="Arial"/>
        </w:rPr>
      </w:pPr>
      <w:r w:rsidRPr="00A86426">
        <w:rPr>
          <w:rFonts w:ascii="Arial" w:hAnsi="Arial" w:cs="Arial"/>
        </w:rPr>
        <w:t xml:space="preserve">Dès l’aube des didactiques, la question du </w:t>
      </w:r>
      <w:r w:rsidRPr="00A86426">
        <w:rPr>
          <w:rFonts w:ascii="Arial" w:hAnsi="Arial" w:cs="Arial"/>
          <w:i/>
        </w:rPr>
        <w:t>milieu</w:t>
      </w:r>
      <w:r w:rsidRPr="00A86426">
        <w:rPr>
          <w:rFonts w:ascii="Arial" w:hAnsi="Arial" w:cs="Arial"/>
        </w:rPr>
        <w:t xml:space="preserve"> </w:t>
      </w:r>
      <w:r>
        <w:rPr>
          <w:rFonts w:ascii="Arial" w:hAnsi="Arial" w:cs="Arial"/>
        </w:rPr>
        <w:t xml:space="preserve">(mathématique </w:t>
      </w:r>
      <w:r w:rsidRPr="00A86426">
        <w:rPr>
          <w:rFonts w:ascii="Arial" w:hAnsi="Arial" w:cs="Arial"/>
        </w:rPr>
        <w:t xml:space="preserve">ou </w:t>
      </w:r>
      <w:r>
        <w:rPr>
          <w:rFonts w:ascii="Arial" w:hAnsi="Arial" w:cs="Arial"/>
        </w:rPr>
        <w:t>plus généralement relatif aux</w:t>
      </w:r>
      <w:r w:rsidRPr="00A86426">
        <w:rPr>
          <w:rFonts w:ascii="Arial" w:hAnsi="Arial" w:cs="Arial"/>
        </w:rPr>
        <w:t xml:space="preserve"> objet</w:t>
      </w:r>
      <w:r w:rsidR="00FF6342">
        <w:rPr>
          <w:rFonts w:ascii="Arial" w:hAnsi="Arial" w:cs="Arial"/>
        </w:rPr>
        <w:t>s</w:t>
      </w:r>
      <w:r w:rsidRPr="00A86426">
        <w:rPr>
          <w:rFonts w:ascii="Arial" w:hAnsi="Arial" w:cs="Arial"/>
        </w:rPr>
        <w:t xml:space="preserve"> de savoir) s’</w:t>
      </w:r>
      <w:r>
        <w:rPr>
          <w:rFonts w:ascii="Arial" w:hAnsi="Arial" w:cs="Arial"/>
        </w:rPr>
        <w:t xml:space="preserve">est posée. La didactique des mathématiques, pionnière sur cette question avec l’élaboration, dès les années 70, de situations dites d’ingénierie, a particulièrement travaillé cette question des milieux mathématiques pour l’enseignement et l’apprentissage de ses objets (voir notamment, pour ne citer que ces deux contributions, Brousseau, </w:t>
      </w:r>
      <w:r w:rsidR="009C35EC">
        <w:rPr>
          <w:rFonts w:ascii="Arial" w:hAnsi="Arial" w:cs="Arial"/>
        </w:rPr>
        <w:t>1990 ; Margolinas, 1995). C</w:t>
      </w:r>
      <w:r>
        <w:rPr>
          <w:rFonts w:ascii="Arial" w:hAnsi="Arial" w:cs="Arial"/>
        </w:rPr>
        <w:t xml:space="preserve">ette question du milieu a été reprise depuis lors par </w:t>
      </w:r>
      <w:r>
        <w:rPr>
          <w:rFonts w:ascii="Arial" w:hAnsi="Arial" w:cs="Arial"/>
        </w:rPr>
        <w:lastRenderedPageBreak/>
        <w:t xml:space="preserve">des didacticiens d’autres disciplines, notamment l’éducation physique et sportive </w:t>
      </w:r>
      <w:r w:rsidR="001326D2">
        <w:rPr>
          <w:rFonts w:ascii="Arial" w:hAnsi="Arial" w:cs="Arial"/>
        </w:rPr>
        <w:t>dont les didacticiens ont montré</w:t>
      </w:r>
      <w:r>
        <w:rPr>
          <w:rFonts w:ascii="Arial" w:hAnsi="Arial" w:cs="Arial"/>
        </w:rPr>
        <w:t xml:space="preserve"> les limites et les possibles de c</w:t>
      </w:r>
      <w:r w:rsidR="00EA5834">
        <w:rPr>
          <w:rFonts w:ascii="Arial" w:hAnsi="Arial" w:cs="Arial"/>
        </w:rPr>
        <w:t xml:space="preserve">e concept pour ce domaine </w:t>
      </w:r>
      <w:r w:rsidR="001326D2">
        <w:rPr>
          <w:rFonts w:ascii="Arial" w:hAnsi="Arial" w:cs="Arial"/>
        </w:rPr>
        <w:t>(voir notamment Amade-Escot, Verscheure &amp; Devos, 2002)</w:t>
      </w:r>
      <w:r>
        <w:rPr>
          <w:rFonts w:ascii="Arial" w:hAnsi="Arial" w:cs="Arial"/>
        </w:rPr>
        <w:t xml:space="preserve">. </w:t>
      </w:r>
      <w:r w:rsidR="005533B3">
        <w:rPr>
          <w:rFonts w:ascii="Arial" w:hAnsi="Arial" w:cs="Arial"/>
        </w:rPr>
        <w:t xml:space="preserve">Plus largement, les didacticiens comparatistes se sont également positionnés en la matière avec des contributions à la réflexion sur ce concept. La centration </w:t>
      </w:r>
      <w:r w:rsidR="00391F02">
        <w:rPr>
          <w:rFonts w:ascii="Arial" w:hAnsi="Arial" w:cs="Arial"/>
        </w:rPr>
        <w:t>porte</w:t>
      </w:r>
      <w:r w:rsidR="005533B3">
        <w:rPr>
          <w:rFonts w:ascii="Arial" w:hAnsi="Arial" w:cs="Arial"/>
        </w:rPr>
        <w:t xml:space="preserve"> alors sur « l’analyse du milieu en tant que production conjointe du professeur et des élèves »</w:t>
      </w:r>
      <w:r w:rsidR="005533B3" w:rsidRPr="005533B3">
        <w:rPr>
          <w:rFonts w:ascii="Arial" w:hAnsi="Arial" w:cs="Arial"/>
        </w:rPr>
        <w:t xml:space="preserve"> </w:t>
      </w:r>
      <w:r w:rsidR="005533B3">
        <w:rPr>
          <w:rFonts w:ascii="Arial" w:hAnsi="Arial" w:cs="Arial"/>
        </w:rPr>
        <w:t xml:space="preserve">(voir Amade-Escot &amp; Venturini, 2009, p. 7, avec une comparaison EPS et science). Cette notion de milieu rejoint </w:t>
      </w:r>
      <w:r w:rsidR="00083588">
        <w:rPr>
          <w:rFonts w:ascii="Arial" w:hAnsi="Arial" w:cs="Arial"/>
        </w:rPr>
        <w:t>aussi</w:t>
      </w:r>
      <w:r w:rsidR="005533B3">
        <w:rPr>
          <w:rFonts w:ascii="Arial" w:hAnsi="Arial" w:cs="Arial"/>
        </w:rPr>
        <w:t xml:space="preserve"> la notion de </w:t>
      </w:r>
      <w:r w:rsidR="005533B3" w:rsidRPr="00AF5C15">
        <w:rPr>
          <w:rFonts w:ascii="Arial" w:hAnsi="Arial" w:cs="Arial"/>
          <w:i/>
        </w:rPr>
        <w:t>mésogenèse</w:t>
      </w:r>
      <w:r w:rsidR="005533B3">
        <w:rPr>
          <w:rFonts w:ascii="Arial" w:hAnsi="Arial" w:cs="Arial"/>
        </w:rPr>
        <w:t>, en tant que processus de pr</w:t>
      </w:r>
      <w:r w:rsidR="00AF5C15">
        <w:rPr>
          <w:rFonts w:ascii="Arial" w:hAnsi="Arial" w:cs="Arial"/>
        </w:rPr>
        <w:t xml:space="preserve">oduction d’un milieu, toujours </w:t>
      </w:r>
      <w:r w:rsidR="00CF3F80">
        <w:rPr>
          <w:rFonts w:ascii="Arial" w:hAnsi="Arial" w:cs="Arial"/>
        </w:rPr>
        <w:t>renouvelé</w:t>
      </w:r>
      <w:r w:rsidR="00AF5C15">
        <w:rPr>
          <w:rFonts w:ascii="Arial" w:hAnsi="Arial" w:cs="Arial"/>
        </w:rPr>
        <w:t xml:space="preserve"> dans l’interaction entre enseignant et élèves et, du point de vue de l’analyse, </w:t>
      </w:r>
      <w:r w:rsidR="00C05D1E">
        <w:rPr>
          <w:rFonts w:ascii="Arial" w:hAnsi="Arial" w:cs="Arial"/>
        </w:rPr>
        <w:t xml:space="preserve">articulée aux processus de </w:t>
      </w:r>
      <w:r w:rsidR="00C05D1E" w:rsidRPr="00C05D1E">
        <w:rPr>
          <w:rFonts w:ascii="Arial" w:hAnsi="Arial" w:cs="Arial"/>
          <w:i/>
        </w:rPr>
        <w:t>topogenèse</w:t>
      </w:r>
      <w:r w:rsidR="00C05D1E">
        <w:rPr>
          <w:rFonts w:ascii="Arial" w:hAnsi="Arial" w:cs="Arial"/>
        </w:rPr>
        <w:t xml:space="preserve"> (évolution des places respectives de l’enseignant et des élèves) et de </w:t>
      </w:r>
      <w:r w:rsidR="00C05D1E" w:rsidRPr="00C05D1E">
        <w:rPr>
          <w:rFonts w:ascii="Arial" w:hAnsi="Arial" w:cs="Arial"/>
          <w:i/>
        </w:rPr>
        <w:t>chronogenèse</w:t>
      </w:r>
      <w:r w:rsidR="00C05D1E">
        <w:rPr>
          <w:rFonts w:ascii="Arial" w:hAnsi="Arial" w:cs="Arial"/>
        </w:rPr>
        <w:t xml:space="preserve"> (évolution du savoir dans l’interaction). Les didacticiens comparatistes et la didactique comparée en particulier ont centré leurs travaux depuis le début des années 2000 sur ces processus (voir, parmi d’autres, Sensevy &amp; Mercier, Ed, 2007 ; Ligozat </w:t>
      </w:r>
      <w:r w:rsidR="00CF3F80">
        <w:rPr>
          <w:rFonts w:ascii="Arial" w:hAnsi="Arial" w:cs="Arial"/>
        </w:rPr>
        <w:t xml:space="preserve">&amp; </w:t>
      </w:r>
      <w:r w:rsidR="00C05D1E">
        <w:rPr>
          <w:rFonts w:ascii="Arial" w:hAnsi="Arial" w:cs="Arial"/>
        </w:rPr>
        <w:t>Leutenegger, 2008)</w:t>
      </w:r>
      <w:r w:rsidR="00AF5C15">
        <w:rPr>
          <w:rFonts w:ascii="Arial" w:hAnsi="Arial" w:cs="Arial"/>
        </w:rPr>
        <w:t>.</w:t>
      </w:r>
    </w:p>
    <w:p w14:paraId="5654F984" w14:textId="63945835" w:rsidR="00145CD0" w:rsidRDefault="009C35EC" w:rsidP="005533B3">
      <w:pPr>
        <w:jc w:val="both"/>
        <w:rPr>
          <w:rFonts w:ascii="Arial" w:hAnsi="Arial" w:cs="Arial"/>
        </w:rPr>
      </w:pPr>
      <w:r>
        <w:rPr>
          <w:rFonts w:ascii="Arial" w:hAnsi="Arial" w:cs="Arial"/>
        </w:rPr>
        <w:t>P</w:t>
      </w:r>
      <w:r w:rsidR="00C05D1E">
        <w:rPr>
          <w:rFonts w:ascii="Arial" w:hAnsi="Arial" w:cs="Arial"/>
        </w:rPr>
        <w:t xml:space="preserve">our </w:t>
      </w:r>
      <w:r w:rsidR="00944E3B">
        <w:rPr>
          <w:rFonts w:ascii="Arial" w:hAnsi="Arial" w:cs="Arial"/>
        </w:rPr>
        <w:t>ce symposium</w:t>
      </w:r>
      <w:r w:rsidR="00C05D1E">
        <w:rPr>
          <w:rFonts w:ascii="Arial" w:hAnsi="Arial" w:cs="Arial"/>
        </w:rPr>
        <w:t xml:space="preserve"> </w:t>
      </w:r>
      <w:r>
        <w:rPr>
          <w:rFonts w:ascii="Arial" w:hAnsi="Arial" w:cs="Arial"/>
        </w:rPr>
        <w:t>il s’agit</w:t>
      </w:r>
      <w:r w:rsidR="00C05D1E">
        <w:rPr>
          <w:rFonts w:ascii="Arial" w:hAnsi="Arial" w:cs="Arial"/>
        </w:rPr>
        <w:t xml:space="preserve"> d’effectuer</w:t>
      </w:r>
      <w:r w:rsidR="00AF5C15">
        <w:rPr>
          <w:rFonts w:ascii="Arial" w:hAnsi="Arial" w:cs="Arial"/>
        </w:rPr>
        <w:t xml:space="preserve"> un pa</w:t>
      </w:r>
      <w:r w:rsidR="006C389F">
        <w:rPr>
          <w:rFonts w:ascii="Arial" w:hAnsi="Arial" w:cs="Arial"/>
        </w:rPr>
        <w:t>s de plus en examinant l’élabora</w:t>
      </w:r>
      <w:r w:rsidR="00AF5C15">
        <w:rPr>
          <w:rFonts w:ascii="Arial" w:hAnsi="Arial" w:cs="Arial"/>
        </w:rPr>
        <w:t>tion</w:t>
      </w:r>
      <w:r w:rsidR="00C05D1E">
        <w:rPr>
          <w:rFonts w:ascii="Arial" w:hAnsi="Arial" w:cs="Arial"/>
        </w:rPr>
        <w:t xml:space="preserve"> de milieux, non plus pour </w:t>
      </w:r>
      <w:r w:rsidR="006C389F">
        <w:rPr>
          <w:rFonts w:ascii="Arial" w:hAnsi="Arial" w:cs="Arial"/>
        </w:rPr>
        <w:t xml:space="preserve">les systèmes didactiques, mais pour </w:t>
      </w:r>
      <w:r w:rsidR="0003639F">
        <w:rPr>
          <w:rFonts w:ascii="Arial" w:hAnsi="Arial" w:cs="Arial"/>
        </w:rPr>
        <w:t>les systèmes de formation à l’enseignement</w:t>
      </w:r>
      <w:r w:rsidR="006C389F">
        <w:rPr>
          <w:rFonts w:ascii="Arial" w:hAnsi="Arial" w:cs="Arial"/>
        </w:rPr>
        <w:t xml:space="preserve">. D’autres s’y sont attaqués dès les années 90 (voir notamment Portugais, 1995 ; Barioni, </w:t>
      </w:r>
      <w:r w:rsidR="00145CD0">
        <w:rPr>
          <w:rFonts w:ascii="Arial" w:hAnsi="Arial" w:cs="Arial"/>
        </w:rPr>
        <w:t xml:space="preserve">2012), mais aussi </w:t>
      </w:r>
      <w:r w:rsidR="006C389F">
        <w:rPr>
          <w:rFonts w:ascii="Arial" w:hAnsi="Arial" w:cs="Arial"/>
        </w:rPr>
        <w:t xml:space="preserve">les auteurs de l’ouvrage paru en 2014 sous la co-direction de Leutenegger, Amade-escot </w:t>
      </w:r>
      <w:r w:rsidR="00E912A6">
        <w:rPr>
          <w:rFonts w:ascii="Arial" w:hAnsi="Arial" w:cs="Arial"/>
        </w:rPr>
        <w:t xml:space="preserve">et </w:t>
      </w:r>
      <w:r w:rsidR="006C389F">
        <w:rPr>
          <w:rFonts w:ascii="Arial" w:hAnsi="Arial" w:cs="Arial"/>
        </w:rPr>
        <w:t>Schubauer-Leoni.</w:t>
      </w:r>
      <w:r w:rsidR="00145CD0">
        <w:rPr>
          <w:rFonts w:ascii="Arial" w:hAnsi="Arial" w:cs="Arial"/>
        </w:rPr>
        <w:t xml:space="preserve"> </w:t>
      </w:r>
      <w:r w:rsidR="00FE4DCA">
        <w:rPr>
          <w:rFonts w:ascii="Arial" w:hAnsi="Arial" w:cs="Arial"/>
        </w:rPr>
        <w:t xml:space="preserve">Ils ont notamment amené à se poser la question du fonctionnement de </w:t>
      </w:r>
      <w:r w:rsidR="00391F02">
        <w:rPr>
          <w:rFonts w:ascii="Arial" w:hAnsi="Arial" w:cs="Arial"/>
        </w:rPr>
        <w:t xml:space="preserve">ces </w:t>
      </w:r>
      <w:r w:rsidR="00FE4DCA">
        <w:rPr>
          <w:rFonts w:ascii="Arial" w:hAnsi="Arial" w:cs="Arial"/>
        </w:rPr>
        <w:t>systèmes didactiques particuliers que sont les systèmes de formation dont les instances, à un autre niveau, sont représenté</w:t>
      </w:r>
      <w:r w:rsidR="00083588">
        <w:rPr>
          <w:rFonts w:ascii="Arial" w:hAnsi="Arial" w:cs="Arial"/>
        </w:rPr>
        <w:t>e</w:t>
      </w:r>
      <w:r w:rsidR="00FE4DCA">
        <w:rPr>
          <w:rFonts w:ascii="Arial" w:hAnsi="Arial" w:cs="Arial"/>
        </w:rPr>
        <w:t xml:space="preserve">s par les formateurs d’enseignants, les formés (futurs enseignants) et les savoirs didactiques inhérents à ce système. </w:t>
      </w:r>
      <w:r w:rsidR="00E912A6">
        <w:rPr>
          <w:rFonts w:ascii="Arial" w:hAnsi="Arial" w:cs="Arial"/>
        </w:rPr>
        <w:t xml:space="preserve">Ces auteurs </w:t>
      </w:r>
      <w:r w:rsidR="00FE4DCA">
        <w:rPr>
          <w:rFonts w:ascii="Arial" w:hAnsi="Arial" w:cs="Arial"/>
        </w:rPr>
        <w:t xml:space="preserve">se sont du reste penchés sur la nature de ces savoirs en tant que, vraisemblablement, composés de savoirs disciplinaires (mathématiques, français, géographie, etc.) articulés à des savoirs pour enseigner. </w:t>
      </w:r>
    </w:p>
    <w:p w14:paraId="4ED59D1D" w14:textId="473FBA35" w:rsidR="0003639F" w:rsidRDefault="00391F02" w:rsidP="005533B3">
      <w:pPr>
        <w:jc w:val="both"/>
        <w:rPr>
          <w:rFonts w:ascii="Arial" w:hAnsi="Arial" w:cs="Arial"/>
        </w:rPr>
      </w:pPr>
      <w:r>
        <w:rPr>
          <w:rFonts w:ascii="Arial" w:hAnsi="Arial" w:cs="Arial"/>
        </w:rPr>
        <w:t xml:space="preserve">Les </w:t>
      </w:r>
      <w:r w:rsidR="00944E3B">
        <w:rPr>
          <w:rFonts w:ascii="Arial" w:hAnsi="Arial" w:cs="Arial"/>
        </w:rPr>
        <w:t>quatre contributions de ce symposium</w:t>
      </w:r>
      <w:r>
        <w:rPr>
          <w:rFonts w:ascii="Arial" w:hAnsi="Arial" w:cs="Arial"/>
        </w:rPr>
        <w:t xml:space="preserve"> </w:t>
      </w:r>
      <w:r w:rsidR="00A0709D">
        <w:rPr>
          <w:rFonts w:ascii="Arial" w:hAnsi="Arial" w:cs="Arial"/>
        </w:rPr>
        <w:t>devraient</w:t>
      </w:r>
      <w:r w:rsidR="00145CD0">
        <w:rPr>
          <w:rFonts w:ascii="Arial" w:hAnsi="Arial" w:cs="Arial"/>
        </w:rPr>
        <w:t xml:space="preserve"> permettre d’avancer là-dessus en faisant intervenir des didacticiens de </w:t>
      </w:r>
      <w:r w:rsidR="00944E3B">
        <w:rPr>
          <w:rFonts w:ascii="Arial" w:hAnsi="Arial" w:cs="Arial"/>
        </w:rPr>
        <w:t>quatre</w:t>
      </w:r>
      <w:r w:rsidR="004B0203">
        <w:rPr>
          <w:rFonts w:ascii="Arial" w:hAnsi="Arial" w:cs="Arial"/>
        </w:rPr>
        <w:t xml:space="preserve"> disciplines différentes : </w:t>
      </w:r>
      <w:r w:rsidR="00145CD0">
        <w:rPr>
          <w:rFonts w:ascii="Arial" w:hAnsi="Arial" w:cs="Arial"/>
        </w:rPr>
        <w:t>mathématique</w:t>
      </w:r>
      <w:r w:rsidR="00FE4DCA">
        <w:rPr>
          <w:rFonts w:ascii="Arial" w:hAnsi="Arial" w:cs="Arial"/>
        </w:rPr>
        <w:t>s</w:t>
      </w:r>
      <w:r w:rsidR="004B0203">
        <w:rPr>
          <w:rFonts w:ascii="Arial" w:hAnsi="Arial" w:cs="Arial"/>
        </w:rPr>
        <w:t xml:space="preserve"> avec Sylvie</w:t>
      </w:r>
      <w:r w:rsidR="00094ECC">
        <w:rPr>
          <w:rFonts w:ascii="Arial" w:hAnsi="Arial" w:cs="Arial"/>
        </w:rPr>
        <w:t xml:space="preserve"> Coppé</w:t>
      </w:r>
      <w:r w:rsidR="00944E3B">
        <w:rPr>
          <w:rFonts w:ascii="Arial" w:hAnsi="Arial" w:cs="Arial"/>
        </w:rPr>
        <w:t>, EPS</w:t>
      </w:r>
      <w:r w:rsidR="004B0203">
        <w:rPr>
          <w:rFonts w:ascii="Arial" w:hAnsi="Arial" w:cs="Arial"/>
        </w:rPr>
        <w:t xml:space="preserve"> avec Benoît</w:t>
      </w:r>
      <w:r w:rsidR="00094ECC">
        <w:rPr>
          <w:rFonts w:ascii="Arial" w:hAnsi="Arial" w:cs="Arial"/>
        </w:rPr>
        <w:t xml:space="preserve"> Lenzen</w:t>
      </w:r>
      <w:r w:rsidR="00944E3B">
        <w:rPr>
          <w:rFonts w:ascii="Arial" w:hAnsi="Arial" w:cs="Arial"/>
        </w:rPr>
        <w:t>, informatique</w:t>
      </w:r>
      <w:r w:rsidR="004B0203">
        <w:rPr>
          <w:rFonts w:ascii="Arial" w:hAnsi="Arial" w:cs="Arial"/>
        </w:rPr>
        <w:t xml:space="preserve"> avec Cédric</w:t>
      </w:r>
      <w:r w:rsidR="00094ECC">
        <w:rPr>
          <w:rFonts w:ascii="Arial" w:hAnsi="Arial" w:cs="Arial"/>
        </w:rPr>
        <w:t xml:space="preserve"> Fluckiger</w:t>
      </w:r>
      <w:r w:rsidR="00944E3B">
        <w:rPr>
          <w:rFonts w:ascii="Arial" w:hAnsi="Arial" w:cs="Arial"/>
        </w:rPr>
        <w:t xml:space="preserve"> </w:t>
      </w:r>
      <w:r w:rsidR="00145CD0">
        <w:rPr>
          <w:rFonts w:ascii="Arial" w:hAnsi="Arial" w:cs="Arial"/>
        </w:rPr>
        <w:t>et sciences sociales</w:t>
      </w:r>
      <w:r w:rsidR="004B0203">
        <w:rPr>
          <w:rFonts w:ascii="Arial" w:hAnsi="Arial" w:cs="Arial"/>
        </w:rPr>
        <w:t xml:space="preserve"> avec Nicole</w:t>
      </w:r>
      <w:r w:rsidR="00094ECC">
        <w:rPr>
          <w:rFonts w:ascii="Arial" w:hAnsi="Arial" w:cs="Arial"/>
        </w:rPr>
        <w:t xml:space="preserve"> Awais</w:t>
      </w:r>
      <w:r w:rsidR="004B0203">
        <w:rPr>
          <w:rFonts w:ascii="Arial" w:hAnsi="Arial" w:cs="Arial"/>
        </w:rPr>
        <w:t>,</w:t>
      </w:r>
      <w:r w:rsidR="00145CD0">
        <w:rPr>
          <w:rFonts w:ascii="Arial" w:hAnsi="Arial" w:cs="Arial"/>
        </w:rPr>
        <w:t xml:space="preserve"> ainsi que la didactique comparée </w:t>
      </w:r>
      <w:r w:rsidR="004B0203">
        <w:rPr>
          <w:rFonts w:ascii="Arial" w:hAnsi="Arial" w:cs="Arial"/>
        </w:rPr>
        <w:t xml:space="preserve">(F. Leutenegger) </w:t>
      </w:r>
      <w:r w:rsidR="00145CD0">
        <w:rPr>
          <w:rFonts w:ascii="Arial" w:hAnsi="Arial" w:cs="Arial"/>
        </w:rPr>
        <w:t xml:space="preserve">afin de </w:t>
      </w:r>
      <w:r w:rsidR="00FE4DCA">
        <w:rPr>
          <w:rFonts w:ascii="Arial" w:hAnsi="Arial" w:cs="Arial"/>
        </w:rPr>
        <w:t>montrer</w:t>
      </w:r>
      <w:r w:rsidR="00145CD0">
        <w:rPr>
          <w:rFonts w:ascii="Arial" w:hAnsi="Arial" w:cs="Arial"/>
        </w:rPr>
        <w:t xml:space="preserve">, depuis leurs travaux empiriques respectifs, mais aussi leur posture de formateurs d’enseignants dans ces disciplines, si et comment la notion de milieu est travaillée. Ceci suppose donc un travail à deux niveaux permettant de répondre (ou commencer à répondre) </w:t>
      </w:r>
      <w:r w:rsidR="00944E3B">
        <w:rPr>
          <w:rFonts w:ascii="Arial" w:hAnsi="Arial" w:cs="Arial"/>
        </w:rPr>
        <w:t xml:space="preserve">à </w:t>
      </w:r>
      <w:r w:rsidR="00E912A6">
        <w:rPr>
          <w:rFonts w:ascii="Arial" w:hAnsi="Arial" w:cs="Arial"/>
        </w:rPr>
        <w:t>quelques-unes</w:t>
      </w:r>
      <w:r w:rsidR="00944E3B">
        <w:rPr>
          <w:rFonts w:ascii="Arial" w:hAnsi="Arial" w:cs="Arial"/>
        </w:rPr>
        <w:t xml:space="preserve"> des</w:t>
      </w:r>
      <w:r w:rsidR="00145CD0">
        <w:rPr>
          <w:rFonts w:ascii="Arial" w:hAnsi="Arial" w:cs="Arial"/>
        </w:rPr>
        <w:t xml:space="preserve"> questions qui suivent : </w:t>
      </w:r>
    </w:p>
    <w:p w14:paraId="0E44D507" w14:textId="73F946E9" w:rsidR="00FE4DCA" w:rsidRDefault="00FE4DCA" w:rsidP="005533B3">
      <w:pPr>
        <w:jc w:val="both"/>
        <w:rPr>
          <w:rFonts w:ascii="Arial" w:hAnsi="Arial" w:cs="Arial"/>
        </w:rPr>
      </w:pPr>
      <w:r>
        <w:rPr>
          <w:rFonts w:ascii="Arial" w:hAnsi="Arial" w:cs="Arial"/>
        </w:rPr>
        <w:t>Au niveau du système didactique enseignant-élèves-savoir :</w:t>
      </w:r>
    </w:p>
    <w:p w14:paraId="1B67FF99" w14:textId="4DB8F542" w:rsidR="00AF5C15" w:rsidRPr="00145CD0" w:rsidRDefault="00145CD0" w:rsidP="0003639F">
      <w:pPr>
        <w:pStyle w:val="Paragraphedeliste"/>
        <w:numPr>
          <w:ilvl w:val="0"/>
          <w:numId w:val="1"/>
        </w:numPr>
        <w:spacing w:after="0" w:line="240" w:lineRule="auto"/>
        <w:ind w:left="714" w:hanging="357"/>
        <w:jc w:val="both"/>
        <w:rPr>
          <w:rFonts w:ascii="Arial" w:hAnsi="Arial" w:cs="Arial"/>
        </w:rPr>
      </w:pPr>
      <w:r w:rsidRPr="00145CD0">
        <w:rPr>
          <w:rFonts w:ascii="Arial" w:hAnsi="Arial" w:cs="Arial"/>
        </w:rPr>
        <w:t xml:space="preserve">La notion de </w:t>
      </w:r>
      <w:r w:rsidRPr="00145CD0">
        <w:rPr>
          <w:rFonts w:ascii="Arial" w:hAnsi="Arial" w:cs="Arial"/>
          <w:i/>
        </w:rPr>
        <w:t>milieu</w:t>
      </w:r>
      <w:r w:rsidRPr="00145CD0">
        <w:rPr>
          <w:rFonts w:ascii="Arial" w:hAnsi="Arial" w:cs="Arial"/>
        </w:rPr>
        <w:t xml:space="preserve"> participe-t-elle des dispositifs de formation des enseignants dans les domaines disciplinaires respectifs des </w:t>
      </w:r>
      <w:r w:rsidR="004B0203">
        <w:rPr>
          <w:rFonts w:ascii="Arial" w:hAnsi="Arial" w:cs="Arial"/>
        </w:rPr>
        <w:t xml:space="preserve">contributeurs </w:t>
      </w:r>
      <w:r w:rsidRPr="00145CD0">
        <w:rPr>
          <w:rFonts w:ascii="Arial" w:hAnsi="Arial" w:cs="Arial"/>
        </w:rPr>
        <w:t>?</w:t>
      </w:r>
    </w:p>
    <w:p w14:paraId="56FB2266" w14:textId="66996C82" w:rsidR="00145CD0" w:rsidRDefault="00145CD0" w:rsidP="0003639F">
      <w:pPr>
        <w:pStyle w:val="Paragraphedeliste"/>
        <w:numPr>
          <w:ilvl w:val="0"/>
          <w:numId w:val="1"/>
        </w:numPr>
        <w:spacing w:after="0" w:line="240" w:lineRule="auto"/>
        <w:ind w:left="714" w:hanging="357"/>
        <w:jc w:val="both"/>
        <w:rPr>
          <w:rFonts w:ascii="Arial" w:hAnsi="Arial" w:cs="Arial"/>
        </w:rPr>
      </w:pPr>
      <w:r>
        <w:rPr>
          <w:rFonts w:ascii="Arial" w:hAnsi="Arial" w:cs="Arial"/>
        </w:rPr>
        <w:t>Si oui, dans quels dispositifs et avec quelle intention didactique pour les formés</w:t>
      </w:r>
      <w:r w:rsidR="00FE4DCA">
        <w:rPr>
          <w:rFonts w:ascii="Arial" w:hAnsi="Arial" w:cs="Arial"/>
        </w:rPr>
        <w:t> ?</w:t>
      </w:r>
    </w:p>
    <w:p w14:paraId="4978CEB3" w14:textId="77777777" w:rsidR="00FE4DCA" w:rsidRDefault="00145CD0" w:rsidP="0003639F">
      <w:pPr>
        <w:pStyle w:val="Paragraphedeliste"/>
        <w:numPr>
          <w:ilvl w:val="0"/>
          <w:numId w:val="1"/>
        </w:numPr>
        <w:spacing w:after="0" w:line="240" w:lineRule="auto"/>
        <w:ind w:left="714" w:hanging="357"/>
        <w:jc w:val="both"/>
        <w:rPr>
          <w:rFonts w:ascii="Arial" w:hAnsi="Arial" w:cs="Arial"/>
        </w:rPr>
      </w:pPr>
      <w:r>
        <w:rPr>
          <w:rFonts w:ascii="Arial" w:hAnsi="Arial" w:cs="Arial"/>
        </w:rPr>
        <w:t xml:space="preserve">Si non, comment le savoir en jeu </w:t>
      </w:r>
      <w:r w:rsidR="00FE4DCA">
        <w:rPr>
          <w:rFonts w:ascii="Arial" w:hAnsi="Arial" w:cs="Arial"/>
        </w:rPr>
        <w:t xml:space="preserve">et ses conditions d’enseignement/apprentissage </w:t>
      </w:r>
      <w:r>
        <w:rPr>
          <w:rFonts w:ascii="Arial" w:hAnsi="Arial" w:cs="Arial"/>
        </w:rPr>
        <w:t xml:space="preserve">pour les enseignants et les élèves </w:t>
      </w:r>
      <w:r w:rsidR="00FE4DCA">
        <w:rPr>
          <w:rFonts w:ascii="Arial" w:hAnsi="Arial" w:cs="Arial"/>
        </w:rPr>
        <w:t>sont</w:t>
      </w:r>
      <w:r>
        <w:rPr>
          <w:rFonts w:ascii="Arial" w:hAnsi="Arial" w:cs="Arial"/>
        </w:rPr>
        <w:t>-il</w:t>
      </w:r>
      <w:r w:rsidR="00FE4DCA">
        <w:rPr>
          <w:rFonts w:ascii="Arial" w:hAnsi="Arial" w:cs="Arial"/>
        </w:rPr>
        <w:t>s travaillés avec les formés ?</w:t>
      </w:r>
    </w:p>
    <w:p w14:paraId="516A53D7" w14:textId="77777777" w:rsidR="0003639F" w:rsidRDefault="0003639F" w:rsidP="0003639F">
      <w:pPr>
        <w:pStyle w:val="Paragraphedeliste"/>
        <w:spacing w:after="0" w:line="240" w:lineRule="auto"/>
        <w:ind w:left="714"/>
        <w:jc w:val="both"/>
        <w:rPr>
          <w:rFonts w:ascii="Arial" w:hAnsi="Arial" w:cs="Arial"/>
        </w:rPr>
      </w:pPr>
    </w:p>
    <w:p w14:paraId="795FAD75" w14:textId="284FDAC4" w:rsidR="00145CD0" w:rsidRDefault="00FE4DCA" w:rsidP="00FE4DCA">
      <w:pPr>
        <w:jc w:val="both"/>
        <w:rPr>
          <w:rFonts w:ascii="Arial" w:hAnsi="Arial" w:cs="Arial"/>
        </w:rPr>
      </w:pPr>
      <w:r>
        <w:rPr>
          <w:rFonts w:ascii="Arial" w:hAnsi="Arial" w:cs="Arial"/>
        </w:rPr>
        <w:t>Au niveau du système de formation formateur-formés-savoirs didactiques :</w:t>
      </w:r>
    </w:p>
    <w:p w14:paraId="2C367B70" w14:textId="0FC896BE" w:rsidR="00C85B28" w:rsidRDefault="00C85B28" w:rsidP="0003639F">
      <w:pPr>
        <w:pStyle w:val="Paragraphedeliste"/>
        <w:numPr>
          <w:ilvl w:val="0"/>
          <w:numId w:val="2"/>
        </w:numPr>
        <w:spacing w:after="0" w:line="240" w:lineRule="auto"/>
        <w:ind w:left="714" w:hanging="357"/>
        <w:jc w:val="both"/>
        <w:rPr>
          <w:rFonts w:ascii="Arial" w:hAnsi="Arial" w:cs="Arial"/>
        </w:rPr>
      </w:pPr>
      <w:r>
        <w:rPr>
          <w:rFonts w:ascii="Arial" w:hAnsi="Arial" w:cs="Arial"/>
        </w:rPr>
        <w:t>Le statut, la légitimité de l’objet de formation permet-il la constitution d’un milieu pour la formation ?</w:t>
      </w:r>
    </w:p>
    <w:p w14:paraId="1A885278" w14:textId="66BFA6F5" w:rsidR="00FE4DCA" w:rsidRPr="00FE4DCA" w:rsidRDefault="00FE4DCA" w:rsidP="0003639F">
      <w:pPr>
        <w:pStyle w:val="Paragraphedeliste"/>
        <w:numPr>
          <w:ilvl w:val="0"/>
          <w:numId w:val="2"/>
        </w:numPr>
        <w:spacing w:after="0" w:line="240" w:lineRule="auto"/>
        <w:ind w:left="714" w:hanging="357"/>
        <w:jc w:val="both"/>
        <w:rPr>
          <w:rFonts w:ascii="Arial" w:hAnsi="Arial" w:cs="Arial"/>
        </w:rPr>
      </w:pPr>
      <w:r>
        <w:rPr>
          <w:rFonts w:ascii="Arial" w:hAnsi="Arial" w:cs="Arial"/>
        </w:rPr>
        <w:t>Q</w:t>
      </w:r>
      <w:r w:rsidRPr="00FE4DCA">
        <w:rPr>
          <w:rFonts w:ascii="Arial" w:hAnsi="Arial" w:cs="Arial"/>
        </w:rPr>
        <w:t>uel est le milieu aménagé pour la formation</w:t>
      </w:r>
      <w:r>
        <w:rPr>
          <w:rFonts w:ascii="Arial" w:hAnsi="Arial" w:cs="Arial"/>
        </w:rPr>
        <w:t xml:space="preserve"> dans le domaine disciplinaire concerné</w:t>
      </w:r>
      <w:r w:rsidRPr="00FE4DCA">
        <w:rPr>
          <w:rFonts w:ascii="Arial" w:hAnsi="Arial" w:cs="Arial"/>
        </w:rPr>
        <w:t> ?</w:t>
      </w:r>
    </w:p>
    <w:p w14:paraId="1A5535BE" w14:textId="163BDD1D" w:rsidR="00F96A9B" w:rsidRDefault="00FE4DCA" w:rsidP="0003639F">
      <w:pPr>
        <w:pStyle w:val="Paragraphedeliste"/>
        <w:numPr>
          <w:ilvl w:val="0"/>
          <w:numId w:val="2"/>
        </w:numPr>
        <w:spacing w:after="0" w:line="240" w:lineRule="auto"/>
        <w:ind w:left="714" w:hanging="357"/>
        <w:jc w:val="both"/>
        <w:rPr>
          <w:rFonts w:ascii="Arial" w:hAnsi="Arial" w:cs="Arial"/>
        </w:rPr>
      </w:pPr>
      <w:r>
        <w:rPr>
          <w:rFonts w:ascii="Arial" w:hAnsi="Arial" w:cs="Arial"/>
        </w:rPr>
        <w:lastRenderedPageBreak/>
        <w:t>Quels sont les spécificités de ce milieu au regard des objets de savoir disciplinaires concernés ?</w:t>
      </w:r>
    </w:p>
    <w:p w14:paraId="117D8E41" w14:textId="77777777" w:rsidR="0003639F" w:rsidRPr="00944E3B" w:rsidRDefault="0003639F" w:rsidP="0003639F">
      <w:pPr>
        <w:pStyle w:val="Paragraphedeliste"/>
        <w:spacing w:after="0" w:line="240" w:lineRule="auto"/>
        <w:ind w:left="714"/>
        <w:jc w:val="both"/>
        <w:rPr>
          <w:rFonts w:ascii="Arial" w:hAnsi="Arial" w:cs="Arial"/>
        </w:rPr>
      </w:pPr>
    </w:p>
    <w:p w14:paraId="371D283B" w14:textId="2DD4A88C" w:rsidR="00A86426" w:rsidRDefault="0003639F" w:rsidP="0003639F">
      <w:pPr>
        <w:spacing w:after="0" w:line="240" w:lineRule="auto"/>
        <w:rPr>
          <w:rFonts w:ascii="Arial" w:hAnsi="Arial" w:cs="Arial"/>
          <w:color w:val="000000" w:themeColor="text1"/>
        </w:rPr>
      </w:pPr>
      <w:r w:rsidRPr="0003639F">
        <w:rPr>
          <w:rFonts w:ascii="Arial" w:hAnsi="Arial" w:cs="Arial"/>
          <w:color w:val="000000" w:themeColor="text1"/>
        </w:rPr>
        <w:t>Références</w:t>
      </w:r>
    </w:p>
    <w:p w14:paraId="18C713AE" w14:textId="77777777" w:rsidR="0003639F" w:rsidRPr="0003639F" w:rsidRDefault="0003639F" w:rsidP="0003639F">
      <w:pPr>
        <w:spacing w:after="0" w:line="240" w:lineRule="auto"/>
        <w:rPr>
          <w:rFonts w:ascii="Arial" w:hAnsi="Arial" w:cs="Arial"/>
          <w:color w:val="000000" w:themeColor="text1"/>
        </w:rPr>
      </w:pPr>
    </w:p>
    <w:p w14:paraId="749D360C" w14:textId="40B4A430" w:rsidR="00A86426" w:rsidRDefault="00A86426" w:rsidP="00A86426">
      <w:pPr>
        <w:pStyle w:val="Retraitcorpset1relig"/>
        <w:spacing w:after="0"/>
        <w:ind w:left="567" w:hanging="567"/>
        <w:jc w:val="both"/>
      </w:pPr>
      <w:r>
        <w:t xml:space="preserve">Amade-Escot, C., </w:t>
      </w:r>
      <w:proofErr w:type="spellStart"/>
      <w:r>
        <w:t>Verscheure</w:t>
      </w:r>
      <w:proofErr w:type="spellEnd"/>
      <w:r>
        <w:t>, I. &amp; Devos, O. (2002). "Milieu didactique" et "régulations" comme outils d'analyse de l'activité du professeur en éducation physique. In</w:t>
      </w:r>
      <w:r>
        <w:rPr>
          <w:i/>
        </w:rPr>
        <w:t xml:space="preserve"> </w:t>
      </w:r>
      <w:r>
        <w:t xml:space="preserve">A. Terrisse (Ed.), </w:t>
      </w:r>
      <w:r>
        <w:rPr>
          <w:i/>
        </w:rPr>
        <w:t xml:space="preserve">Les didactiques scientifiques et technologiques. </w:t>
      </w:r>
      <w:r>
        <w:t>Les dossiers des sciences de l'éducation No.8, 87-97.</w:t>
      </w:r>
      <w:r>
        <w:rPr>
          <w:i/>
        </w:rPr>
        <w:t xml:space="preserve"> </w:t>
      </w:r>
      <w:r>
        <w:t>Toulouse : Presses Universitaires du Mirail.</w:t>
      </w:r>
    </w:p>
    <w:p w14:paraId="59832A59" w14:textId="5C7D9D05" w:rsidR="00284E00" w:rsidRPr="00DB6241" w:rsidRDefault="00284E00" w:rsidP="00DB6241">
      <w:pPr>
        <w:pStyle w:val="Retraitcorpset1relig"/>
        <w:spacing w:after="0"/>
        <w:ind w:left="567" w:hanging="567"/>
        <w:jc w:val="both"/>
      </w:pPr>
      <w:r>
        <w:t xml:space="preserve">Amade-Escot, C. &amp; </w:t>
      </w:r>
      <w:proofErr w:type="spellStart"/>
      <w:r>
        <w:t>Venturini</w:t>
      </w:r>
      <w:proofErr w:type="spellEnd"/>
      <w:r>
        <w:t xml:space="preserve">, P. (2009). </w:t>
      </w:r>
      <w:r w:rsidRPr="00284E00">
        <w:rPr>
          <w:rFonts w:ascii="Times" w:hAnsi="Times"/>
          <w:kern w:val="36"/>
        </w:rPr>
        <w:t>Le milieu didactique : d’une étude empirique en contexte difficile à une réflexion sur le concept</w:t>
      </w:r>
      <w:r>
        <w:rPr>
          <w:rFonts w:ascii="Times" w:hAnsi="Times"/>
          <w:kern w:val="36"/>
        </w:rPr>
        <w:t xml:space="preserve">. </w:t>
      </w:r>
      <w:r w:rsidR="00DB6241">
        <w:rPr>
          <w:i/>
          <w:iCs/>
          <w:sz w:val="22"/>
          <w:szCs w:val="22"/>
        </w:rPr>
        <w:t>Education &amp; Didactique</w:t>
      </w:r>
      <w:r w:rsidR="00DB6241">
        <w:rPr>
          <w:sz w:val="22"/>
          <w:szCs w:val="22"/>
        </w:rPr>
        <w:t xml:space="preserve"> </w:t>
      </w:r>
      <w:r w:rsidR="00DB6241">
        <w:rPr>
          <w:i/>
          <w:iCs/>
          <w:sz w:val="22"/>
          <w:szCs w:val="22"/>
        </w:rPr>
        <w:t xml:space="preserve">Vol1/1, </w:t>
      </w:r>
      <w:r w:rsidR="00DB6241">
        <w:rPr>
          <w:sz w:val="22"/>
          <w:szCs w:val="22"/>
        </w:rPr>
        <w:t>7-43.</w:t>
      </w:r>
    </w:p>
    <w:p w14:paraId="5B1205EA" w14:textId="77777777" w:rsidR="00145CD0" w:rsidRPr="00E03722" w:rsidRDefault="00145CD0" w:rsidP="00145CD0">
      <w:pPr>
        <w:pStyle w:val="Retraitcorpset1relig"/>
        <w:spacing w:after="0"/>
        <w:ind w:left="567" w:hanging="567"/>
        <w:jc w:val="both"/>
        <w:rPr>
          <w:rFonts w:ascii="Times" w:hAnsi="Times"/>
          <w:i/>
          <w:iCs/>
        </w:rPr>
      </w:pPr>
      <w:proofErr w:type="spellStart"/>
      <w:r w:rsidRPr="00145CD0">
        <w:t>Barioni</w:t>
      </w:r>
      <w:proofErr w:type="spellEnd"/>
      <w:r w:rsidRPr="00E03722">
        <w:rPr>
          <w:rFonts w:ascii="Times" w:hAnsi="Times"/>
        </w:rPr>
        <w:t xml:space="preserve">, R. (2012). </w:t>
      </w:r>
      <w:r w:rsidRPr="00E03722">
        <w:t>Formation</w:t>
      </w:r>
      <w:r w:rsidRPr="00E03722">
        <w:rPr>
          <w:rFonts w:ascii="Times" w:hAnsi="Times"/>
        </w:rPr>
        <w:t xml:space="preserve"> initiale et enseignement des mathématiques : regard sur le travail de l’étudiant-stagiaire par le formateur en institution et le formateur de terrain. </w:t>
      </w:r>
      <w:r w:rsidRPr="00E03722">
        <w:rPr>
          <w:rFonts w:ascii="Times" w:hAnsi="Times"/>
          <w:i/>
          <w:iCs/>
        </w:rPr>
        <w:t>Revue des Hautes écoles pédagogiques et institutions assimilées de Suisse romande et du Tessin, Varia, 14, 197-219.</w:t>
      </w:r>
    </w:p>
    <w:p w14:paraId="4E2F69A9" w14:textId="77777777" w:rsidR="00A86426" w:rsidRDefault="00A86426" w:rsidP="00A86426">
      <w:pPr>
        <w:pStyle w:val="Retraitcorpset1relig"/>
        <w:spacing w:after="0"/>
        <w:ind w:left="567" w:hanging="567"/>
        <w:jc w:val="both"/>
      </w:pPr>
      <w:r w:rsidRPr="005A0F24">
        <w:t xml:space="preserve">Brousseau, G.  (1990). Le contrat didactique : le milieu. </w:t>
      </w:r>
      <w:r w:rsidRPr="005A0F24">
        <w:rPr>
          <w:i/>
        </w:rPr>
        <w:t>Recherche en didactique des mathématiques</w:t>
      </w:r>
      <w:r w:rsidRPr="005A0F24">
        <w:t>,</w:t>
      </w:r>
      <w:r w:rsidRPr="005A0F24">
        <w:rPr>
          <w:i/>
        </w:rPr>
        <w:t xml:space="preserve"> </w:t>
      </w:r>
      <w:r w:rsidRPr="005A0F24">
        <w:t xml:space="preserve">La Pensée Sauvage, vol. 9 </w:t>
      </w:r>
      <w:proofErr w:type="gramStart"/>
      <w:r w:rsidRPr="005A0F24">
        <w:t>n</w:t>
      </w:r>
      <w:r w:rsidRPr="005A0F24">
        <w:rPr>
          <w:vertAlign w:val="superscript"/>
        </w:rPr>
        <w:t>o</w:t>
      </w:r>
      <w:proofErr w:type="gramEnd"/>
      <w:r w:rsidRPr="005A0F24">
        <w:t xml:space="preserve"> 3, p.309-336 </w:t>
      </w:r>
    </w:p>
    <w:p w14:paraId="6502AFF0" w14:textId="6D0B92B0" w:rsidR="00C05D1E" w:rsidRPr="00C05D1E" w:rsidRDefault="00C05D1E" w:rsidP="00C05D1E">
      <w:pPr>
        <w:pStyle w:val="Retraitcorpset1relig"/>
        <w:spacing w:after="0"/>
        <w:ind w:left="567" w:hanging="567"/>
        <w:jc w:val="both"/>
      </w:pPr>
      <w:proofErr w:type="spellStart"/>
      <w:r w:rsidRPr="00C05D1E">
        <w:t>Ligozat</w:t>
      </w:r>
      <w:proofErr w:type="spellEnd"/>
      <w:r>
        <w:rPr>
          <w:sz w:val="22"/>
          <w:szCs w:val="22"/>
        </w:rPr>
        <w:t xml:space="preserve">, F. &amp; Leutenegger, F. (2008). Construction de la référence et milieux différentiels dans l’action conjointe du professeur et des élèves. Le cas d’un problème d’agrandissement de distances. </w:t>
      </w:r>
      <w:r>
        <w:rPr>
          <w:i/>
          <w:iCs/>
          <w:sz w:val="22"/>
          <w:szCs w:val="22"/>
        </w:rPr>
        <w:t xml:space="preserve">Recherches en Didactique des Mathématiques, 28/3, </w:t>
      </w:r>
      <w:r>
        <w:rPr>
          <w:sz w:val="22"/>
          <w:szCs w:val="22"/>
        </w:rPr>
        <w:t>319-378.</w:t>
      </w:r>
    </w:p>
    <w:p w14:paraId="764667CC" w14:textId="77777777" w:rsidR="006C389F" w:rsidRPr="006732C9" w:rsidRDefault="006C389F" w:rsidP="006C389F">
      <w:pPr>
        <w:pStyle w:val="Retraitcorpset1relig"/>
        <w:spacing w:after="0"/>
        <w:ind w:left="567" w:hanging="567"/>
        <w:jc w:val="both"/>
        <w:rPr>
          <w:sz w:val="22"/>
          <w:szCs w:val="22"/>
        </w:rPr>
      </w:pPr>
      <w:r w:rsidRPr="006C389F">
        <w:t>Leutenegger</w:t>
      </w:r>
      <w:r w:rsidRPr="006732C9">
        <w:rPr>
          <w:sz w:val="22"/>
          <w:szCs w:val="22"/>
        </w:rPr>
        <w:t xml:space="preserve">, F., Amade-Escot, C. &amp; </w:t>
      </w:r>
      <w:proofErr w:type="spellStart"/>
      <w:r w:rsidRPr="006732C9">
        <w:rPr>
          <w:sz w:val="22"/>
          <w:szCs w:val="22"/>
        </w:rPr>
        <w:t>Schubauer</w:t>
      </w:r>
      <w:proofErr w:type="spellEnd"/>
      <w:r w:rsidRPr="006732C9">
        <w:rPr>
          <w:sz w:val="22"/>
          <w:szCs w:val="22"/>
        </w:rPr>
        <w:t xml:space="preserve">-Leoni, M.-L. (Ed.) (2014). </w:t>
      </w:r>
      <w:r w:rsidRPr="006732C9">
        <w:rPr>
          <w:i/>
          <w:sz w:val="22"/>
          <w:szCs w:val="22"/>
        </w:rPr>
        <w:t>Interactions entre recherches en didactique(s) et formation des enseignants. Questions de didactique comparée</w:t>
      </w:r>
      <w:r w:rsidRPr="006732C9">
        <w:rPr>
          <w:sz w:val="22"/>
          <w:szCs w:val="22"/>
        </w:rPr>
        <w:t>. Presses Universitaires de Franche-Comté</w:t>
      </w:r>
      <w:r>
        <w:rPr>
          <w:sz w:val="22"/>
          <w:szCs w:val="22"/>
        </w:rPr>
        <w:t>.</w:t>
      </w:r>
    </w:p>
    <w:p w14:paraId="0BF5699D" w14:textId="77777777" w:rsidR="00A86426" w:rsidRDefault="00A86426" w:rsidP="00A86426">
      <w:pPr>
        <w:pStyle w:val="Retraitcorpset1relig"/>
        <w:spacing w:after="0"/>
        <w:ind w:left="567" w:hanging="567"/>
        <w:jc w:val="both"/>
      </w:pPr>
      <w:proofErr w:type="spellStart"/>
      <w:r w:rsidRPr="00B63E82">
        <w:t>Margolinas</w:t>
      </w:r>
      <w:proofErr w:type="spellEnd"/>
      <w:r w:rsidRPr="00B63E82">
        <w:t xml:space="preserve">, C. (1995). La structuration du milieu et ses apports dans l’analyse a posteriori des situations. </w:t>
      </w:r>
      <w:r w:rsidRPr="00B63E82">
        <w:rPr>
          <w:i/>
        </w:rPr>
        <w:t xml:space="preserve">In </w:t>
      </w:r>
      <w:r w:rsidRPr="00B63E82">
        <w:t xml:space="preserve">C. </w:t>
      </w:r>
      <w:proofErr w:type="spellStart"/>
      <w:r w:rsidRPr="00B63E82">
        <w:t>Margolinas</w:t>
      </w:r>
      <w:proofErr w:type="spellEnd"/>
      <w:r w:rsidRPr="00B63E82">
        <w:t xml:space="preserve"> (éd.) </w:t>
      </w:r>
      <w:r w:rsidRPr="00B63E82">
        <w:rPr>
          <w:i/>
        </w:rPr>
        <w:t xml:space="preserve">Actes du séminaire national 1993-1994. Les débats de didactique des mathématiques. </w:t>
      </w:r>
      <w:r w:rsidRPr="00B63E82">
        <w:t>La Pensée Sauvage, p. 89-102.</w:t>
      </w:r>
    </w:p>
    <w:p w14:paraId="0F852525" w14:textId="3CF3BB23" w:rsidR="006C389F" w:rsidRPr="00B63E82" w:rsidRDefault="006C389F" w:rsidP="006C389F">
      <w:pPr>
        <w:pStyle w:val="Retraitcorpset1relig"/>
        <w:spacing w:after="0"/>
        <w:ind w:left="567" w:hanging="567"/>
        <w:jc w:val="both"/>
      </w:pPr>
      <w:r w:rsidRPr="00FF72BF">
        <w:t>Portugais J. (1995). Didactique des mathématiques et formation des enseignants. Peter Lang.</w:t>
      </w:r>
    </w:p>
    <w:p w14:paraId="43BD77DF" w14:textId="7541CF37" w:rsidR="00DE2941" w:rsidRDefault="00C05D1E" w:rsidP="0003639F">
      <w:pPr>
        <w:pStyle w:val="Retraitcorpset1relig"/>
        <w:spacing w:after="0"/>
        <w:ind w:left="567" w:hanging="567"/>
        <w:jc w:val="both"/>
      </w:pPr>
      <w:proofErr w:type="spellStart"/>
      <w:r w:rsidRPr="000010D5">
        <w:rPr>
          <w:lang w:val="en-GB"/>
        </w:rPr>
        <w:t>Sensevy</w:t>
      </w:r>
      <w:proofErr w:type="spellEnd"/>
      <w:r w:rsidRPr="000010D5">
        <w:rPr>
          <w:lang w:val="en-GB"/>
        </w:rPr>
        <w:t xml:space="preserve">, G. &amp; Mercier, A. (Ed.) </w:t>
      </w:r>
      <w:r w:rsidRPr="000010D5">
        <w:t xml:space="preserve">(2007). </w:t>
      </w:r>
      <w:r w:rsidRPr="000010D5">
        <w:rPr>
          <w:i/>
        </w:rPr>
        <w:t xml:space="preserve">Agir ensemble. L’action didactique conjointe du professeur et des élèves. </w:t>
      </w:r>
      <w:r w:rsidRPr="000010D5">
        <w:t>Presses Universitaires de Rennes.</w:t>
      </w:r>
    </w:p>
    <w:p w14:paraId="7D57933A" w14:textId="23B808EA" w:rsidR="00381056" w:rsidRDefault="00381056">
      <w:pPr>
        <w:rPr>
          <w:rFonts w:ascii="Times New Roman" w:eastAsia="Times New Roman" w:hAnsi="Times New Roman" w:cs="Times New Roman"/>
          <w:sz w:val="20"/>
          <w:szCs w:val="20"/>
          <w:lang w:val="fr-FR" w:eastAsia="fr-FR"/>
        </w:rPr>
      </w:pPr>
      <w:r>
        <w:br w:type="page"/>
      </w:r>
    </w:p>
    <w:p w14:paraId="086221A7" w14:textId="0DF7A39B" w:rsidR="00FD2C9B" w:rsidRPr="00FD2C9B" w:rsidRDefault="00FD2C9B" w:rsidP="00FD2C9B">
      <w:pPr>
        <w:jc w:val="center"/>
        <w:rPr>
          <w:rFonts w:ascii="Arial" w:hAnsi="Arial" w:cs="Arial"/>
          <w:b/>
        </w:rPr>
      </w:pPr>
      <w:bookmarkStart w:id="0" w:name="_GoBack"/>
      <w:bookmarkEnd w:id="0"/>
      <w:r w:rsidRPr="00FD2C9B">
        <w:rPr>
          <w:rFonts w:ascii="Arial" w:hAnsi="Arial" w:cs="Arial"/>
          <w:b/>
        </w:rPr>
        <w:lastRenderedPageBreak/>
        <w:t>Communication 1</w:t>
      </w:r>
    </w:p>
    <w:p w14:paraId="0C06D496" w14:textId="77777777" w:rsidR="00FD2C9B" w:rsidRDefault="00FD2C9B" w:rsidP="00FD2C9B">
      <w:pPr>
        <w:jc w:val="center"/>
        <w:rPr>
          <w:rFonts w:ascii="Arial" w:hAnsi="Arial" w:cs="Arial"/>
          <w:b/>
          <w:sz w:val="24"/>
          <w:szCs w:val="24"/>
        </w:rPr>
      </w:pPr>
      <w:r w:rsidRPr="006F7566">
        <w:rPr>
          <w:rFonts w:ascii="Arial" w:hAnsi="Arial" w:cs="Arial"/>
          <w:b/>
          <w:sz w:val="24"/>
          <w:szCs w:val="24"/>
        </w:rPr>
        <w:t>Le milieu en sciences humaines et sociales</w:t>
      </w:r>
    </w:p>
    <w:p w14:paraId="7D16406D" w14:textId="77777777" w:rsidR="00FD2C9B" w:rsidRDefault="00FD2C9B" w:rsidP="00FD2C9B">
      <w:pPr>
        <w:spacing w:after="0" w:line="240" w:lineRule="auto"/>
        <w:jc w:val="center"/>
        <w:rPr>
          <w:rFonts w:ascii="Arial" w:hAnsi="Arial" w:cs="Arial"/>
          <w:sz w:val="24"/>
          <w:szCs w:val="24"/>
        </w:rPr>
      </w:pPr>
      <w:r w:rsidRPr="00153294">
        <w:rPr>
          <w:rFonts w:ascii="Arial" w:hAnsi="Arial" w:cs="Arial"/>
          <w:sz w:val="24"/>
          <w:szCs w:val="24"/>
        </w:rPr>
        <w:t>Nicole Awais</w:t>
      </w:r>
    </w:p>
    <w:p w14:paraId="59B28FCE" w14:textId="77777777" w:rsidR="00FD2C9B" w:rsidRPr="00153294" w:rsidRDefault="00FD2C9B" w:rsidP="00FD2C9B">
      <w:pPr>
        <w:spacing w:after="0" w:line="240" w:lineRule="auto"/>
        <w:jc w:val="center"/>
        <w:rPr>
          <w:rFonts w:ascii="Arial" w:hAnsi="Arial" w:cs="Arial"/>
          <w:sz w:val="24"/>
          <w:szCs w:val="24"/>
        </w:rPr>
      </w:pPr>
      <w:r>
        <w:rPr>
          <w:rFonts w:ascii="Arial" w:hAnsi="Arial" w:cs="Arial"/>
          <w:lang w:val="fr-FR"/>
        </w:rPr>
        <w:t>E</w:t>
      </w:r>
      <w:r w:rsidRPr="00963ED4">
        <w:rPr>
          <w:rFonts w:ascii="Arial" w:hAnsi="Arial" w:cs="Arial"/>
          <w:lang w:val="fr-FR"/>
        </w:rPr>
        <w:t xml:space="preserve">ducation et formation, </w:t>
      </w:r>
      <w:r w:rsidRPr="00963ED4">
        <w:rPr>
          <w:rFonts w:ascii="Arial" w:hAnsi="Arial" w:cs="Arial"/>
          <w:bCs/>
          <w:lang w:val="fr-FR"/>
        </w:rPr>
        <w:t>Enfants du Monde</w:t>
      </w:r>
      <w:r>
        <w:rPr>
          <w:rFonts w:ascii="Arial" w:hAnsi="Arial" w:cs="Arial"/>
          <w:bCs/>
          <w:lang w:val="fr-FR"/>
        </w:rPr>
        <w:t>, Genève</w:t>
      </w:r>
    </w:p>
    <w:p w14:paraId="3243B591" w14:textId="77777777" w:rsidR="00FD2C9B" w:rsidRPr="006F7566" w:rsidRDefault="00FD2C9B" w:rsidP="00FD2C9B">
      <w:pPr>
        <w:jc w:val="center"/>
        <w:rPr>
          <w:rFonts w:ascii="Arial" w:hAnsi="Arial" w:cs="Arial"/>
          <w:b/>
          <w:sz w:val="24"/>
          <w:szCs w:val="24"/>
        </w:rPr>
      </w:pPr>
    </w:p>
    <w:p w14:paraId="6A994C72" w14:textId="77777777" w:rsidR="00FD2C9B" w:rsidRPr="00A86426" w:rsidRDefault="00FD2C9B" w:rsidP="00FD2C9B">
      <w:pPr>
        <w:rPr>
          <w:rFonts w:ascii="Arial" w:hAnsi="Arial" w:cs="Arial"/>
          <w:sz w:val="24"/>
          <w:szCs w:val="24"/>
        </w:rPr>
      </w:pPr>
      <w:r w:rsidRPr="006F7566">
        <w:rPr>
          <w:rFonts w:ascii="Arial" w:hAnsi="Arial" w:cs="Arial"/>
          <w:sz w:val="24"/>
          <w:szCs w:val="24"/>
          <w:u w:val="single"/>
        </w:rPr>
        <w:t>Mots-clés</w:t>
      </w:r>
      <w:r>
        <w:rPr>
          <w:rFonts w:ascii="Arial" w:hAnsi="Arial" w:cs="Arial"/>
          <w:sz w:val="24"/>
          <w:szCs w:val="24"/>
        </w:rPr>
        <w:t> : sciences humaines et sociales (SHS), milieu, problématisation, éducations à…, pratiques sociales de référence</w:t>
      </w:r>
    </w:p>
    <w:p w14:paraId="1616AA47" w14:textId="77777777" w:rsidR="00FD2C9B" w:rsidRPr="00850249" w:rsidRDefault="00FD2C9B" w:rsidP="00FD2C9B">
      <w:pPr>
        <w:spacing w:after="0"/>
        <w:jc w:val="both"/>
        <w:rPr>
          <w:rFonts w:ascii="Arial" w:hAnsi="Arial" w:cs="Arial"/>
          <w:b/>
        </w:rPr>
      </w:pPr>
      <w:r w:rsidRPr="00850249">
        <w:rPr>
          <w:rFonts w:ascii="Arial" w:hAnsi="Arial" w:cs="Arial"/>
          <w:b/>
        </w:rPr>
        <w:t>Résumé court</w:t>
      </w:r>
    </w:p>
    <w:p w14:paraId="7E8F18BE" w14:textId="77777777" w:rsidR="00FD2C9B" w:rsidRDefault="00FD2C9B" w:rsidP="00FD2C9B">
      <w:pPr>
        <w:jc w:val="both"/>
        <w:rPr>
          <w:rFonts w:ascii="Arial" w:hAnsi="Arial" w:cs="Arial"/>
        </w:rPr>
      </w:pPr>
      <w:r>
        <w:rPr>
          <w:rFonts w:ascii="Arial" w:hAnsi="Arial" w:cs="Arial"/>
        </w:rPr>
        <w:t xml:space="preserve">Le domaine des SHS est composé de l'histoire, de la géographie et de la citoyenneté selon le plan d'études instauré en 2011 en Suisse romande. Le « milieu » n’est pas un concept particulièrement exploité dans la didactique des SHS. Le savoir en jeu et ses conditions d’enseignement-apprentissage sont bien davantage exploités à travers le concept de « problématisation » </w:t>
      </w:r>
      <w:r>
        <w:rPr>
          <w:rFonts w:ascii="Arial" w:hAnsi="Arial" w:cs="Arial"/>
        </w:rPr>
        <w:fldChar w:fldCharType="begin"/>
      </w:r>
      <w:r>
        <w:rPr>
          <w:rFonts w:ascii="Arial" w:hAnsi="Arial" w:cs="Arial"/>
        </w:rPr>
        <w:instrText xml:space="preserve"> ADDIN ZOTERO_ITEM CSL_CITATION {"citationID":"27t01l1m3v","properties":{"formattedCitation":"(Awais, Heinzen, Jenni, Pellaud, &amp; Muster, 2015)","plainCitation":"(Awais, Heinzen, Jenni, Pellaud, &amp; Muster, 2015)"},"citationItems":[{"id":4993,"uris":["http://zotero.org/users/322704/items/X8XAFW2B"],"uri":["http://zotero.org/users/322704/items/X8XAFW2B"],"itemData":{"id":4993,"type":"article-magazine","title":"Voulez-vous problématiser avec moi?","container-title":"Formation et pratiques d'enseignement en question","page":"15","volume":"18","author":[{"family":"Awais","given":"Nicole"},{"family":"Heinzen","given":"Samuel"},{"family":"Jenni","given":"Philippe"},{"family":"Pellaud","given":"Francine"},{"family":"Muster","given":"Sabine"}],"issued":{"date-parts":[["2015"]]}}}],"schema":"https://github.com/citation-style-language/schema/raw/master/csl-citation.json"} </w:instrText>
      </w:r>
      <w:r>
        <w:rPr>
          <w:rFonts w:ascii="Arial" w:hAnsi="Arial" w:cs="Arial"/>
        </w:rPr>
        <w:fldChar w:fldCharType="separate"/>
      </w:r>
      <w:r w:rsidRPr="000C2883">
        <w:rPr>
          <w:rFonts w:ascii="Arial" w:hAnsi="Arial" w:cs="Arial"/>
        </w:rPr>
        <w:t>(Awais</w:t>
      </w:r>
      <w:r>
        <w:rPr>
          <w:rFonts w:ascii="Arial" w:hAnsi="Arial" w:cs="Arial"/>
        </w:rPr>
        <w:t xml:space="preserve"> et al.,</w:t>
      </w:r>
      <w:r w:rsidRPr="000C2883">
        <w:rPr>
          <w:rFonts w:ascii="Arial" w:hAnsi="Arial" w:cs="Arial"/>
        </w:rPr>
        <w:t xml:space="preserve"> 2015)</w:t>
      </w:r>
      <w:r>
        <w:rPr>
          <w:rFonts w:ascii="Arial" w:hAnsi="Arial" w:cs="Arial"/>
        </w:rPr>
        <w:fldChar w:fldCharType="end"/>
      </w:r>
      <w:r>
        <w:rPr>
          <w:rFonts w:ascii="Arial" w:hAnsi="Arial" w:cs="Arial"/>
        </w:rPr>
        <w:t>.</w:t>
      </w:r>
    </w:p>
    <w:p w14:paraId="52B51EA5" w14:textId="77777777" w:rsidR="00FD2C9B" w:rsidRDefault="00FD2C9B" w:rsidP="00FD2C9B">
      <w:pPr>
        <w:jc w:val="both"/>
        <w:rPr>
          <w:rFonts w:ascii="Arial" w:hAnsi="Arial" w:cs="Arial"/>
        </w:rPr>
      </w:pPr>
      <w:r>
        <w:rPr>
          <w:rFonts w:ascii="Arial" w:hAnsi="Arial" w:cs="Arial"/>
        </w:rPr>
        <w:t xml:space="preserve">Il s'agit de construire une problématique en articulant les connaissances déjà acquises, les questionnements et les problèmes liés à un objet issu du réel. Les concepts spontanés et les concepts scientifiques (selon la conception de </w:t>
      </w:r>
      <w:r>
        <w:rPr>
          <w:rFonts w:ascii="Arial" w:hAnsi="Arial" w:cs="Arial"/>
        </w:rPr>
        <w:fldChar w:fldCharType="begin"/>
      </w:r>
      <w:r>
        <w:rPr>
          <w:rFonts w:ascii="Arial" w:hAnsi="Arial" w:cs="Arial"/>
        </w:rPr>
        <w:instrText xml:space="preserve"> ADDIN ZOTERO_ITEM CSL_CITATION {"citationID":"2k51h7uunm","properties":{"formattedCitation":"(Vygotski, 1997)","plainCitation":"(Vygotski, 1997)"},"citationItems":[{"id":4009,"uris":["http://zotero.org/groups/61228/items/7KIGCABB"],"uri":["http://zotero.org/groups/61228/items/7KIGCABB"],"itemData":{"id":4009,"type":"book","title":"Pensée et langage","publisher":"La Dispute","publisher-place":"Paris","edition":"1ère ed. 1934","source":"Amazon.com","event-place":"Paris","ISBN":"2-84303-004-8","call-number":"0015","author":[{"family":"Vygotski","given":"Lev Semenovitch"}],"issued":{"date-parts":[["1997"]]}}}],"schema":"https://github.com/citation-style-language/schema/raw/master/csl-citation.json"} </w:instrText>
      </w:r>
      <w:r>
        <w:rPr>
          <w:rFonts w:ascii="Arial" w:hAnsi="Arial" w:cs="Arial"/>
        </w:rPr>
        <w:fldChar w:fldCharType="separate"/>
      </w:r>
      <w:r w:rsidRPr="000C2883">
        <w:rPr>
          <w:rFonts w:ascii="Arial" w:hAnsi="Arial" w:cs="Arial"/>
        </w:rPr>
        <w:t>Vygotski, 1997)</w:t>
      </w:r>
      <w:r>
        <w:rPr>
          <w:rFonts w:ascii="Arial" w:hAnsi="Arial" w:cs="Arial"/>
        </w:rPr>
        <w:fldChar w:fldCharType="end"/>
      </w:r>
      <w:r>
        <w:rPr>
          <w:rFonts w:ascii="Arial" w:hAnsi="Arial" w:cs="Arial"/>
        </w:rPr>
        <w:t xml:space="preserve"> sont explicités et articulés dans cette démarche afin de donner des outils aux apprenant-e-s pour résoudre la question à laquelle ils/elles sont confronté-e-s (learning by doing). Les outils les plus souvent utilisés sont les QSV, les débats, les projets d'établissement, etc. Dans la formation des enseignant-e-s, il est indispensable de donner des moyens, des outils, des démarches didactiques pour être capable de problématiser ensuite avec les élèves. La transposition didactique qui est proposée doit aussi prendre en compte les pratiques sociales de référence. Tout cela afin d'éviter soit un réductionnisme scientiste, soit une discussion banale, soit du militantisme </w:t>
      </w:r>
      <w:r>
        <w:rPr>
          <w:rFonts w:ascii="Arial" w:hAnsi="Arial" w:cs="Arial"/>
        </w:rPr>
        <w:fldChar w:fldCharType="begin"/>
      </w:r>
      <w:r>
        <w:rPr>
          <w:rFonts w:ascii="Arial" w:hAnsi="Arial" w:cs="Arial"/>
        </w:rPr>
        <w:instrText xml:space="preserve"> ADDIN ZOTERO_ITEM CSL_CITATION {"citationID":"hq7r5p4t7","properties":{"formattedCitation":"(Fabre, 2015a)","plainCitation":"(Fabre, 2015a)","dontUpdate":true},"citationItems":[{"id":940,"uris":["http://zotero.org/users/322704/items/ZBVXFJ5I"],"uri":["http://zotero.org/users/322704/items/ZBVXFJ5I"],"itemData":{"id":940,"type":"chapter","title":"\"Education à\" et problématisation","container-title":"Actes du colloque_Les \"éducations à\": un (des) levier(s) de transformation du système éducatif?","publisher":"Université de Rouen","publisher-place":"Rouen","page":"25-35","event-place":"Rouen","URL":"https://halshs.archives-ouvertes.fr/halshs-01183403/document","language":"Français","author":[{"family":"Fabre","given":"Michel"}],"container-author":[{"family":"Lange","given":"Jean-Marc"}],"issued":{"date-parts":[["2015"]]}}}],"schema":"https://github.com/citation-style-language/schema/raw/master/csl-citation.json"} </w:instrText>
      </w:r>
      <w:r>
        <w:rPr>
          <w:rFonts w:ascii="Arial" w:hAnsi="Arial" w:cs="Arial"/>
        </w:rPr>
        <w:fldChar w:fldCharType="separate"/>
      </w:r>
      <w:r w:rsidRPr="00C41BCE">
        <w:rPr>
          <w:rFonts w:ascii="Arial" w:hAnsi="Arial" w:cs="Arial"/>
        </w:rPr>
        <w:t>(Fabre, 2015)</w:t>
      </w:r>
      <w:r>
        <w:rPr>
          <w:rFonts w:ascii="Arial" w:hAnsi="Arial" w:cs="Arial"/>
        </w:rPr>
        <w:fldChar w:fldCharType="end"/>
      </w:r>
      <w:r>
        <w:rPr>
          <w:rFonts w:ascii="Arial" w:hAnsi="Arial" w:cs="Arial"/>
        </w:rPr>
        <w:t>.</w:t>
      </w:r>
    </w:p>
    <w:p w14:paraId="09656FE5" w14:textId="77777777" w:rsidR="00FD2C9B" w:rsidRDefault="00FD2C9B" w:rsidP="00FD2C9B">
      <w:pPr>
        <w:spacing w:after="0"/>
        <w:jc w:val="both"/>
        <w:rPr>
          <w:rFonts w:ascii="Arial" w:hAnsi="Arial" w:cs="Arial"/>
          <w:b/>
        </w:rPr>
      </w:pPr>
      <w:r w:rsidRPr="00850249">
        <w:rPr>
          <w:rFonts w:ascii="Arial" w:hAnsi="Arial" w:cs="Arial"/>
          <w:b/>
        </w:rPr>
        <w:t>Résumé long</w:t>
      </w:r>
    </w:p>
    <w:p w14:paraId="13825067" w14:textId="77777777" w:rsidR="00FD2C9B" w:rsidRDefault="00FD2C9B" w:rsidP="00FD2C9B">
      <w:pPr>
        <w:spacing w:after="0"/>
        <w:jc w:val="both"/>
        <w:rPr>
          <w:rFonts w:ascii="Arial" w:hAnsi="Arial" w:cs="Arial"/>
        </w:rPr>
      </w:pPr>
      <w:r>
        <w:rPr>
          <w:rFonts w:ascii="Arial" w:hAnsi="Arial" w:cs="Arial"/>
        </w:rPr>
        <w:t xml:space="preserve">Cette communication se base sur l’expérience de plusieurs formateurs qui, dans le cadre de l’élaboration d’un glossaire commun pour la formation des enseignants dans la Haute Ecole Pédagogique du Valais, ont dû expliciter les objets des didactiques des SHS. Ce travail a fait ressortir le concept de problématisation comme concept-clé d’où un premier travail de réflexion en Suisse romande </w:t>
      </w:r>
      <w:r>
        <w:rPr>
          <w:rFonts w:ascii="Arial" w:hAnsi="Arial" w:cs="Arial"/>
        </w:rPr>
        <w:fldChar w:fldCharType="begin"/>
      </w:r>
      <w:r>
        <w:rPr>
          <w:rFonts w:ascii="Arial" w:hAnsi="Arial" w:cs="Arial"/>
        </w:rPr>
        <w:instrText xml:space="preserve"> ADDIN ZOTERO_ITEM CSL_CITATION {"citationID":"IBaFl8i4","properties":{"formattedCitation":"(Awais et al., 2015, p. 1)","plainCitation":"(Awais et al., 2015, p. 1)"},"citationItems":[{"id":4993,"uris":["http://zotero.org/users/322704/items/X8XAFW2B"],"uri":["http://zotero.org/users/322704/items/X8XAFW2B"],"itemData":{"id":4993,"type":"article-magazine","title":"Voulez-vous problématiser avec moi?","container-title":"Formation et pratiques d'enseignement en question","page":"15","volume":"18","author":[{"family":"Awais","given":"Nicole"},{"family":"Heinzen","given":"Samuel"},{"family":"Jenni","given":"Philippe"},{"family":"Pellaud","given":"Francine"},{"family":"Muster","given":"Sabine"}],"issued":{"date-parts":[["2015"]]}},"locator":"1"}],"schema":"https://github.com/citation-style-language/schema/raw/master/csl-citation.json"} </w:instrText>
      </w:r>
      <w:r>
        <w:rPr>
          <w:rFonts w:ascii="Arial" w:hAnsi="Arial" w:cs="Arial"/>
        </w:rPr>
        <w:fldChar w:fldCharType="separate"/>
      </w:r>
      <w:r>
        <w:rPr>
          <w:rFonts w:ascii="Arial" w:hAnsi="Arial" w:cs="Arial"/>
        </w:rPr>
        <w:t>(Awais et al., 2015</w:t>
      </w:r>
      <w:r w:rsidRPr="0001138F">
        <w:rPr>
          <w:rFonts w:ascii="Arial" w:hAnsi="Arial" w:cs="Arial"/>
        </w:rPr>
        <w:t>)</w:t>
      </w:r>
      <w:r>
        <w:rPr>
          <w:rFonts w:ascii="Arial" w:hAnsi="Arial" w:cs="Arial"/>
        </w:rPr>
        <w:fldChar w:fldCharType="end"/>
      </w:r>
      <w:r>
        <w:rPr>
          <w:rFonts w:ascii="Arial" w:hAnsi="Arial" w:cs="Arial"/>
        </w:rPr>
        <w:t xml:space="preserve">. Cette problématisation est définie comme : </w:t>
      </w:r>
    </w:p>
    <w:p w14:paraId="09533957" w14:textId="77777777" w:rsidR="00FD2C9B" w:rsidRPr="0001138F" w:rsidRDefault="00FD2C9B" w:rsidP="00FD2C9B">
      <w:pPr>
        <w:ind w:left="426"/>
        <w:jc w:val="both"/>
        <w:rPr>
          <w:rFonts w:ascii="Arial" w:eastAsia="Times New Roman" w:hAnsi="Arial" w:cs="Arial"/>
          <w:sz w:val="20"/>
          <w:szCs w:val="20"/>
          <w:lang w:eastAsia="fr-CH"/>
        </w:rPr>
      </w:pPr>
      <w:r w:rsidRPr="0001138F">
        <w:rPr>
          <w:rFonts w:ascii="Arial" w:hAnsi="Arial" w:cs="Arial"/>
          <w:sz w:val="20"/>
          <w:szCs w:val="20"/>
        </w:rPr>
        <w:t>"u</w:t>
      </w:r>
      <w:r w:rsidRPr="0001138F">
        <w:rPr>
          <w:rFonts w:ascii="Arial" w:eastAsia="Times New Roman" w:hAnsi="Arial" w:cs="Arial"/>
          <w:sz w:val="20"/>
          <w:szCs w:val="20"/>
          <w:lang w:eastAsia="fr-CH"/>
        </w:rPr>
        <w:t xml:space="preserve">ne compétence qui consiste à formuler une question ou une problématique en articulant différents présupposés ou représentations, en mettant en discussion ce qui est connu et inconnu (…). Il s’agit d’un processus par lequel ceux ou celles qui se posent une question vont élaborer des hypothèses en veillant aux différents niveaux de langage imbriqués, aux différentes épistémologies présentes tout en évitant le militantisme dans la recherche «co-active» d’une solution raisonnée et justifiée </w:t>
      </w:r>
      <w:r>
        <w:rPr>
          <w:rFonts w:ascii="Arial" w:eastAsia="Times New Roman" w:hAnsi="Arial" w:cs="Arial"/>
          <w:sz w:val="20"/>
          <w:szCs w:val="20"/>
          <w:lang w:eastAsia="fr-CH"/>
        </w:rPr>
        <w:t>parmi différentes possibilités."</w:t>
      </w:r>
      <w:r w:rsidRPr="0001138F">
        <w:rPr>
          <w:rFonts w:ascii="Arial" w:hAnsi="Arial" w:cs="Arial"/>
        </w:rPr>
        <w:t xml:space="preserve"> </w:t>
      </w:r>
      <w:r w:rsidRPr="0001138F">
        <w:rPr>
          <w:rFonts w:ascii="Arial" w:hAnsi="Arial" w:cs="Arial"/>
          <w:sz w:val="20"/>
          <w:szCs w:val="20"/>
        </w:rPr>
        <w:fldChar w:fldCharType="begin"/>
      </w:r>
      <w:r>
        <w:rPr>
          <w:rFonts w:ascii="Arial" w:hAnsi="Arial" w:cs="Arial"/>
          <w:sz w:val="20"/>
          <w:szCs w:val="20"/>
        </w:rPr>
        <w:instrText xml:space="preserve"> ADDIN ZOTERO_ITEM CSL_CITATION {"citationID":"GapZwxWR","properties":{"formattedCitation":"(Awais et al., 2015, p. 1/15)","plainCitation":"(Awais et al., 2015, p. 1/15)"},"citationItems":[{"id":4993,"uris":["http://zotero.org/users/322704/items/X8XAFW2B"],"uri":["http://zotero.org/users/322704/items/X8XAFW2B"],"itemData":{"id":4993,"type":"article-magazine","title":"Voulez-vous problématiser avec moi?","container-title":"Formation et pratiques d'enseignement en question","page":"15","volume":"18","author":[{"family":"Awais","given":"Nicole"},{"family":"Heinzen","given":"Samuel"},{"family":"Jenni","given":"Philippe"},{"family":"Pellaud","given":"Francine"},{"family":"Muster","given":"Sabine"}],"issued":{"date-parts":[["2015"]]}},"locator":"1/15"}],"schema":"https://github.com/citation-style-language/schema/raw/master/csl-citation.json"} </w:instrText>
      </w:r>
      <w:r w:rsidRPr="0001138F">
        <w:rPr>
          <w:rFonts w:ascii="Arial" w:hAnsi="Arial" w:cs="Arial"/>
          <w:sz w:val="20"/>
          <w:szCs w:val="20"/>
        </w:rPr>
        <w:fldChar w:fldCharType="separate"/>
      </w:r>
      <w:r w:rsidRPr="0001138F">
        <w:rPr>
          <w:rFonts w:ascii="Arial" w:hAnsi="Arial" w:cs="Arial"/>
          <w:sz w:val="20"/>
        </w:rPr>
        <w:t>(Awais et al., 2015, p. 1/15)</w:t>
      </w:r>
      <w:r w:rsidRPr="0001138F">
        <w:rPr>
          <w:rFonts w:ascii="Arial" w:hAnsi="Arial" w:cs="Arial"/>
          <w:sz w:val="20"/>
          <w:szCs w:val="20"/>
        </w:rPr>
        <w:fldChar w:fldCharType="end"/>
      </w:r>
    </w:p>
    <w:p w14:paraId="58CB81BD" w14:textId="77777777" w:rsidR="00FD2C9B" w:rsidRDefault="00FD2C9B" w:rsidP="00FD2C9B">
      <w:pPr>
        <w:jc w:val="both"/>
        <w:rPr>
          <w:rFonts w:ascii="Arial" w:hAnsi="Arial" w:cs="Arial"/>
        </w:rPr>
      </w:pPr>
      <w:r>
        <w:rPr>
          <w:rFonts w:ascii="Arial" w:hAnsi="Arial" w:cs="Arial"/>
        </w:rPr>
        <w:t xml:space="preserve">Les autres questions qui sont abordées sont celles des différentes épistémologies impliquées qui sont propres aux disciplines </w:t>
      </w:r>
      <w:r>
        <w:rPr>
          <w:rFonts w:ascii="Arial" w:hAnsi="Arial" w:cs="Arial"/>
        </w:rPr>
        <w:fldChar w:fldCharType="begin"/>
      </w:r>
      <w:r>
        <w:rPr>
          <w:rFonts w:ascii="Arial" w:hAnsi="Arial" w:cs="Arial"/>
        </w:rPr>
        <w:instrText xml:space="preserve"> ADDIN ZOTERO_ITEM CSL_CITATION {"citationID":"T0LVVDW0","properties":{"formattedCitation":"(Guba &amp; Lincoln, 2005; Pourtois &amp; Desmet, 2007)","plainCitation":"(Guba &amp; Lincoln, 2005; Pourtois &amp; Desmet, 2007)"},"citationItems":[{"id":1702,"uris":["http://zotero.org/users/322704/items/GHCJ62QZ"],"uri":["http://zotero.org/users/322704/items/GHCJ62QZ"],"itemData":{"id":1702,"type":"entry-encyclopedia","title":"Paradigmatic controversies, contradictions, and emerging confluences","container-title":"The Sage Handbook of Qualitative Research","publisher":"Norman K. Denzin &amp; Yvonna S. Lincoln","publisher-place":"Thousand Oaks - London _ New Delhi","page":"191-215","edition":"Sage Publication","event-place":"Thousand Oaks - London _ New Delhi","ISBN":"978-0-7619-2757-0","language":"Anglais","author":[{"family":"Guba","given":"Egon G."},{"family":"Lincoln","given":"Yvonna S."}],"issued":{"date-parts":[["2005"]]}}},{"id":1644,"uris":["http://zotero.org/users/322704/items/CV97KGJS"],"uri":["http://zotero.org/users/322704/items/CV97KGJS"],"itemData":{"id":1644,"type":"book","title":"Epistémologie et instrumentation en sciences humaines","publisher":"Editions Mardaga","number-of-pages":"244","source":"Google Books","abstract":"Dans son ambition de scientificité, la recherche en sciences sociales a été dominée au XXe siècle par une approche positiviste stricte, axée sur le modèle expérimental et la quantification. Dans le dernier quart du siècle, des chercheurs de plus en plus nombreux ont mis en question cet exclusivisme, insuffisant à leurs yeux si l'on veut explorer et comprendre la réalité sociale, en perpétuelle évolution. Des courants épistémologiques et méthodologiques se firent jour qui prennent en considération la complexité des situations, leurs contradictions, la dynamique des processus et les points de vue des acteurs. Les deux tendances coexistent aujourd'hui, souvent s'affrontent, rarement encore cherchent à s'articuler. Cet ouvrage expose les éléments du débat, et plaide en faveur d'une dialectique entre ces deux démarches divergentes, dans l'espoir d'aboutir à une synergie fructueuse dans l'étude des problèmes sociaux, éducatifs et psychologiques.","ISBN":"2-87009-981-9","language":"fr","author":[{"family":"Pourtois","given":"Jean-Pierre"},{"family":"Desmet","given":"Huguette"}],"issued":{"date-parts":[["2007"]]}}}],"schema":"https://github.com/citation-style-language/schema/raw/master/csl-citation.json"} </w:instrText>
      </w:r>
      <w:r>
        <w:rPr>
          <w:rFonts w:ascii="Arial" w:hAnsi="Arial" w:cs="Arial"/>
        </w:rPr>
        <w:fldChar w:fldCharType="separate"/>
      </w:r>
      <w:r w:rsidRPr="00850249">
        <w:rPr>
          <w:rFonts w:ascii="Arial" w:hAnsi="Arial" w:cs="Arial"/>
        </w:rPr>
        <w:t>(Guba &amp; Lincoln, 2005; Pourtois &amp; Desmet, 2007)</w:t>
      </w:r>
      <w:r>
        <w:rPr>
          <w:rFonts w:ascii="Arial" w:hAnsi="Arial" w:cs="Arial"/>
        </w:rPr>
        <w:fldChar w:fldCharType="end"/>
      </w:r>
      <w:r>
        <w:rPr>
          <w:rFonts w:ascii="Arial" w:hAnsi="Arial" w:cs="Arial"/>
        </w:rPr>
        <w:t xml:space="preserve"> ; la transposition didactique </w:t>
      </w:r>
      <w:r>
        <w:rPr>
          <w:rFonts w:ascii="Arial" w:hAnsi="Arial" w:cs="Arial"/>
        </w:rPr>
        <w:fldChar w:fldCharType="begin"/>
      </w:r>
      <w:r>
        <w:rPr>
          <w:rFonts w:ascii="Arial" w:hAnsi="Arial" w:cs="Arial"/>
        </w:rPr>
        <w:instrText xml:space="preserve"> ADDIN ZOTERO_ITEM CSL_CITATION {"citationID":"1i2oe9mq2i","properties":{"formattedCitation":"(Perrenoud, 1998)","plainCitation":"(Perrenoud, 1998)"},"citationItems":[{"id":1819,"uris":["http://zotero.org/users/322704/items/PHB3BGAR"],"uri":["http://zotero.org/users/322704/items/PHB3BGAR"],"itemData":{"id":1819,"type":"article-journal","title":"La transposition didactique à partir de pratiques : des savoirs aux compétences","container-title":"Revue des sciences de l'éducation","page":"487","volume":"24","issue":"3","source":"CrossRef","DOI":"10.7202/031969ar","ISSN":"0318-479X, 1705-0065","shortTitle":"La transposition didactique à partir de pratiques","author":[{"family":"Perrenoud","given":"Philippe"}],"issued":{"date-parts":[["1998"]]}}}],"schema":"https://github.com/citation-style-language/schema/raw/master/csl-citation.json"} </w:instrText>
      </w:r>
      <w:r>
        <w:rPr>
          <w:rFonts w:ascii="Arial" w:hAnsi="Arial" w:cs="Arial"/>
        </w:rPr>
        <w:fldChar w:fldCharType="separate"/>
      </w:r>
      <w:r w:rsidRPr="00B61AB8">
        <w:rPr>
          <w:rFonts w:ascii="Arial" w:hAnsi="Arial" w:cs="Arial"/>
        </w:rPr>
        <w:t>(Perrenoud, 1998)</w:t>
      </w:r>
      <w:r>
        <w:rPr>
          <w:rFonts w:ascii="Arial" w:hAnsi="Arial" w:cs="Arial"/>
        </w:rPr>
        <w:fldChar w:fldCharType="end"/>
      </w:r>
      <w:r>
        <w:rPr>
          <w:rFonts w:ascii="Arial" w:hAnsi="Arial" w:cs="Arial"/>
        </w:rPr>
        <w:t xml:space="preserve"> dans laquelle est incluse la question des pratiques sociales de références, les « éducations à » (Fabre, 2015) ainsi que la question de l’action conjointe du formateur et de futurs enseignants </w:t>
      </w:r>
      <w:r>
        <w:rPr>
          <w:rFonts w:ascii="Arial" w:hAnsi="Arial" w:cs="Arial"/>
        </w:rPr>
        <w:fldChar w:fldCharType="begin"/>
      </w:r>
      <w:r>
        <w:rPr>
          <w:rFonts w:ascii="Arial" w:hAnsi="Arial" w:cs="Arial"/>
        </w:rPr>
        <w:instrText xml:space="preserve"> ADDIN ZOTERO_ITEM CSL_CITATION {"citationID":"27l385jqda","properties":{"formattedCitation":"(Sensevy, 2011)","plainCitation":"(Sensevy, 2011)"},"citationItems":[{"id":1723,"uris":["http://zotero.org/users/322704/items/HS3ZIB9U"],"uri":["http://zotero.org/users/322704/items/HS3ZIB9U"],"itemData":{"id":1723,"type":"book","title":"Le sens du savoir. Eléments pour une théorie de l'action conjointe en didactique","collection-title":"Perspectives en éducation &amp; formation","publisher":"De Boeck","publisher-place":"Bruxelles","number-of-pages":"796","event-place":"Bruxelles","ISBN":"978-2-8041-6345-7","language":"Français","author":[{"family":"Sensevy","given":"Gérard"}],"issued":{"date-parts":[["2011"]]}}}],"schema":"https://github.com/citation-style-language/schema/raw/master/csl-citation.json"} </w:instrText>
      </w:r>
      <w:r>
        <w:rPr>
          <w:rFonts w:ascii="Arial" w:hAnsi="Arial" w:cs="Arial"/>
        </w:rPr>
        <w:fldChar w:fldCharType="separate"/>
      </w:r>
      <w:r w:rsidRPr="00B61AB8">
        <w:rPr>
          <w:rFonts w:ascii="Arial" w:hAnsi="Arial" w:cs="Arial"/>
        </w:rPr>
        <w:t>(Sensevy, 2011)</w:t>
      </w:r>
      <w:r>
        <w:rPr>
          <w:rFonts w:ascii="Arial" w:hAnsi="Arial" w:cs="Arial"/>
        </w:rPr>
        <w:fldChar w:fldCharType="end"/>
      </w:r>
      <w:r>
        <w:rPr>
          <w:rFonts w:ascii="Arial" w:hAnsi="Arial" w:cs="Arial"/>
        </w:rPr>
        <w:t>.</w:t>
      </w:r>
    </w:p>
    <w:p w14:paraId="123D2646" w14:textId="77777777" w:rsidR="00FD2C9B" w:rsidRDefault="00FD2C9B" w:rsidP="00FD2C9B">
      <w:pPr>
        <w:jc w:val="both"/>
        <w:rPr>
          <w:rFonts w:ascii="Arial" w:hAnsi="Arial" w:cs="Arial"/>
        </w:rPr>
      </w:pPr>
      <w:r>
        <w:rPr>
          <w:rFonts w:ascii="Arial" w:hAnsi="Arial" w:cs="Arial"/>
        </w:rPr>
        <w:t xml:space="preserve">L’analyse de la problématique permet de réunir l’ensemble de ces éléments. Lors de sa construction, une partie connaissances sont amenées par les apprenant-e-s : elles doivent </w:t>
      </w:r>
      <w:r>
        <w:rPr>
          <w:rFonts w:ascii="Arial" w:hAnsi="Arial" w:cs="Arial"/>
        </w:rPr>
        <w:lastRenderedPageBreak/>
        <w:t xml:space="preserve">être analysées et confrontées à celles amenées par le(s) formateur(s)/trice(s) provenant de différents champs disciplinaires et donc de différentes épistémologies. Les différentes « éducations à » </w:t>
      </w:r>
      <w:r>
        <w:rPr>
          <w:rFonts w:ascii="Arial" w:hAnsi="Arial" w:cs="Arial"/>
        </w:rPr>
        <w:fldChar w:fldCharType="begin"/>
      </w:r>
      <w:r>
        <w:rPr>
          <w:rFonts w:ascii="Arial" w:hAnsi="Arial" w:cs="Arial"/>
        </w:rPr>
        <w:instrText xml:space="preserve"> ADDIN ZOTERO_ITEM CSL_CITATION {"citationID":"3sel8c0ot","properties":{"formattedCitation":"(Lange, 2015)","plainCitation":"(Lange, 2015)"},"citationItems":[{"id":834,"uris":["http://zotero.org/users/322704/items/H6H6GZ5J"],"uri":["http://zotero.org/users/322704/items/H6H6GZ5J"],"itemData":{"id":834,"type":"book","title":"Actes du colloque_Les \"éducations à\": un (des) levier(s) de transformation du système éducatif?","publisher":"Université de Rouen","publisher-place":"Rouen","number-of-pages":"492","event-place":"Rouen","language":"Français","editor":[{"family":"Lange","given":"Jean-Marc"}],"issued":{"date-parts":[["2015"]]}}}],"schema":"https://github.com/citation-style-language/schema/raw/master/csl-citation.json"} </w:instrText>
      </w:r>
      <w:r>
        <w:rPr>
          <w:rFonts w:ascii="Arial" w:hAnsi="Arial" w:cs="Arial"/>
        </w:rPr>
        <w:fldChar w:fldCharType="separate"/>
      </w:r>
      <w:r w:rsidRPr="00C41BCE">
        <w:rPr>
          <w:rFonts w:ascii="Arial" w:hAnsi="Arial" w:cs="Arial"/>
        </w:rPr>
        <w:t>(Lange, 2015)</w:t>
      </w:r>
      <w:r>
        <w:rPr>
          <w:rFonts w:ascii="Arial" w:hAnsi="Arial" w:cs="Arial"/>
        </w:rPr>
        <w:fldChar w:fldCharType="end"/>
      </w:r>
      <w:r>
        <w:rPr>
          <w:rFonts w:ascii="Arial" w:hAnsi="Arial" w:cs="Arial"/>
        </w:rPr>
        <w:t xml:space="preserve"> et les chercheurs en interdisciplinarité </w:t>
      </w:r>
      <w:r>
        <w:rPr>
          <w:rFonts w:ascii="Arial" w:hAnsi="Arial" w:cs="Arial"/>
        </w:rPr>
        <w:fldChar w:fldCharType="begin"/>
      </w:r>
      <w:r>
        <w:rPr>
          <w:rFonts w:ascii="Arial" w:hAnsi="Arial" w:cs="Arial"/>
        </w:rPr>
        <w:instrText xml:space="preserve"> ADDIN ZOTERO_ITEM CSL_CITATION {"citationID":"9ouf5hh12","properties":{"formattedCitation":"(Fourez, Maingain, &amp; Dufour, 2002)","plainCitation":"(Fourez, Maingain, &amp; Dufour, 2002)"},"citationItems":[{"id":1753,"uris":["http://zotero.org/users/322704/items/JERF8TU5"],"uri":["http://zotero.org/users/322704/items/JERF8TU5"],"itemData":{"id":1753,"type":"book","title":"Approches didactiques de l'interdisciplinarité","collection-title":"Perpsectives en Education et Formation","publisher":"De Boeck Université","publisher-place":"Bruxelles","number-of-pages":"283","source":"Open WorldCat","event-place":"Bruxelles","ISBN":"1373-0258","language":"Français","author":[{"family":"Fourez","given":"Gérard"},{"family":"Maingain","given":"Alain"},{"family":"Dufour","given":"Barbara"}],"issued":{"date-parts":[["2002"]]}}}],"schema":"https://github.com/citation-style-language/schema/raw/master/csl-citation.json"} </w:instrText>
      </w:r>
      <w:r>
        <w:rPr>
          <w:rFonts w:ascii="Arial" w:hAnsi="Arial" w:cs="Arial"/>
        </w:rPr>
        <w:fldChar w:fldCharType="separate"/>
      </w:r>
      <w:r w:rsidRPr="00C41BCE">
        <w:rPr>
          <w:rFonts w:ascii="Arial" w:hAnsi="Arial" w:cs="Arial"/>
        </w:rPr>
        <w:t>(Fourez, Maingain, &amp; Dufour, 2002)</w:t>
      </w:r>
      <w:r>
        <w:rPr>
          <w:rFonts w:ascii="Arial" w:hAnsi="Arial" w:cs="Arial"/>
        </w:rPr>
        <w:fldChar w:fldCharType="end"/>
      </w:r>
      <w:r>
        <w:rPr>
          <w:rFonts w:ascii="Arial" w:hAnsi="Arial" w:cs="Arial"/>
        </w:rPr>
        <w:t xml:space="preserve"> ont élaborés certains outils pour que ces connaissances gardent leur validité scientifique tout en conservant leur spécificité et leur complexité. L'exercice n'est pas simple, mais pas impossible : </w:t>
      </w:r>
    </w:p>
    <w:p w14:paraId="4EF21383" w14:textId="77777777" w:rsidR="00FD2C9B" w:rsidRDefault="00FD2C9B" w:rsidP="00FD2C9B">
      <w:pPr>
        <w:pStyle w:val="Paragraphedeliste"/>
        <w:numPr>
          <w:ilvl w:val="0"/>
          <w:numId w:val="5"/>
        </w:numPr>
        <w:jc w:val="both"/>
        <w:rPr>
          <w:rFonts w:ascii="Arial" w:hAnsi="Arial" w:cs="Arial"/>
        </w:rPr>
      </w:pPr>
      <w:r w:rsidRPr="00A1765A">
        <w:rPr>
          <w:rFonts w:ascii="Arial" w:hAnsi="Arial" w:cs="Arial"/>
        </w:rPr>
        <w:t xml:space="preserve">pour Fourez, il s'agit d'identifier des "ilots de rationalité", </w:t>
      </w:r>
    </w:p>
    <w:p w14:paraId="37E35864" w14:textId="77777777" w:rsidR="00FD2C9B" w:rsidRDefault="00FD2C9B" w:rsidP="00FD2C9B">
      <w:pPr>
        <w:pStyle w:val="Paragraphedeliste"/>
        <w:numPr>
          <w:ilvl w:val="0"/>
          <w:numId w:val="5"/>
        </w:numPr>
        <w:jc w:val="both"/>
        <w:rPr>
          <w:rFonts w:ascii="Arial" w:hAnsi="Arial" w:cs="Arial"/>
        </w:rPr>
      </w:pPr>
      <w:r w:rsidRPr="00A1765A">
        <w:rPr>
          <w:rFonts w:ascii="Arial" w:hAnsi="Arial" w:cs="Arial"/>
        </w:rPr>
        <w:t xml:space="preserve">pour Mugrabi &amp; Awais </w:t>
      </w:r>
      <w:r w:rsidRPr="00A1765A">
        <w:rPr>
          <w:rFonts w:ascii="Arial" w:hAnsi="Arial" w:cs="Arial"/>
        </w:rPr>
        <w:fldChar w:fldCharType="begin"/>
      </w:r>
      <w:r>
        <w:rPr>
          <w:rFonts w:ascii="Arial" w:hAnsi="Arial" w:cs="Arial"/>
        </w:rPr>
        <w:instrText xml:space="preserve"> ADDIN ZOTERO_ITEM CSL_CITATION {"citationID":"51DfZUwP","properties":{"formattedCitation":"{\\rtf ([\\uc0\\u224{} para\\uc0\\u238{}tre])}","plainCitation":"([à paraître])"},"citationItems":[{"id":958,"uris":["http://zotero.org/users/322704/items/NRJXADX7"],"uri":["http://zotero.org/users/322704/items/NRJXADX7"],"itemData":{"id":958,"type":"article-journal","title":"La séquence didactique interdisciplinaire dans une approche textuelle","language":"Français","author":[{"family":"Mugrabi","given":"Edivanda"},{"family":"Awais","given":"Nicole"}],"issued":{"literal":"[à paraître]"}},"suppress-author":true}],"schema":"https://github.com/citation-style-language/schema/raw/master/csl-citation.json"} </w:instrText>
      </w:r>
      <w:r w:rsidRPr="00A1765A">
        <w:rPr>
          <w:rFonts w:ascii="Arial" w:hAnsi="Arial" w:cs="Arial"/>
        </w:rPr>
        <w:fldChar w:fldCharType="separate"/>
      </w:r>
      <w:r w:rsidRPr="00A1765A">
        <w:rPr>
          <w:rFonts w:ascii="Arial" w:hAnsi="Arial" w:cs="Arial"/>
          <w:szCs w:val="24"/>
        </w:rPr>
        <w:t>([à paraître])</w:t>
      </w:r>
      <w:r w:rsidRPr="00A1765A">
        <w:rPr>
          <w:rFonts w:ascii="Arial" w:hAnsi="Arial" w:cs="Arial"/>
        </w:rPr>
        <w:fldChar w:fldCharType="end"/>
      </w:r>
      <w:r>
        <w:rPr>
          <w:rFonts w:ascii="Arial" w:hAnsi="Arial" w:cs="Arial"/>
        </w:rPr>
        <w:t xml:space="preserve">, cela revient à </w:t>
      </w:r>
      <w:r w:rsidRPr="00A1765A">
        <w:rPr>
          <w:rFonts w:ascii="Arial" w:hAnsi="Arial" w:cs="Arial"/>
        </w:rPr>
        <w:t>identifier les apports disciplinaires autour d'une problématique</w:t>
      </w:r>
      <w:r>
        <w:rPr>
          <w:rFonts w:ascii="Arial" w:hAnsi="Arial" w:cs="Arial"/>
        </w:rPr>
        <w:t xml:space="preserve">, de les travailler afin d'assurer l'apprentissage de concepts scientifiques pour, finalement, parvenir à </w:t>
      </w:r>
      <w:r w:rsidRPr="00A1765A">
        <w:rPr>
          <w:rFonts w:ascii="Arial" w:hAnsi="Arial" w:cs="Arial"/>
        </w:rPr>
        <w:t>proposer des possibilités d'action concrètes qui fassent droit aux différents champs disciplinaire</w:t>
      </w:r>
      <w:r>
        <w:rPr>
          <w:rFonts w:ascii="Arial" w:hAnsi="Arial" w:cs="Arial"/>
        </w:rPr>
        <w:t>s</w:t>
      </w:r>
      <w:r w:rsidRPr="00A1765A">
        <w:rPr>
          <w:rFonts w:ascii="Arial" w:hAnsi="Arial" w:cs="Arial"/>
        </w:rPr>
        <w:t xml:space="preserve"> analysés</w:t>
      </w:r>
      <w:r>
        <w:rPr>
          <w:rFonts w:ascii="Arial" w:hAnsi="Arial" w:cs="Arial"/>
        </w:rPr>
        <w:t>,</w:t>
      </w:r>
    </w:p>
    <w:p w14:paraId="27C2B8F7" w14:textId="77777777" w:rsidR="00FD2C9B" w:rsidRPr="00A1765A" w:rsidRDefault="00FD2C9B" w:rsidP="00FD2C9B">
      <w:pPr>
        <w:pStyle w:val="Paragraphedeliste"/>
        <w:numPr>
          <w:ilvl w:val="0"/>
          <w:numId w:val="5"/>
        </w:numPr>
        <w:jc w:val="both"/>
        <w:rPr>
          <w:rFonts w:ascii="Arial" w:hAnsi="Arial" w:cs="Arial"/>
        </w:rPr>
      </w:pPr>
      <w:r w:rsidRPr="00A1765A">
        <w:rPr>
          <w:rFonts w:ascii="Arial" w:hAnsi="Arial" w:cs="Arial"/>
        </w:rPr>
        <w:t xml:space="preserve">dans le cas des "éducations à", </w:t>
      </w:r>
      <w:r>
        <w:rPr>
          <w:rFonts w:ascii="Arial" w:hAnsi="Arial" w:cs="Arial"/>
        </w:rPr>
        <w:t xml:space="preserve">des outils ou des méthodes tels que les questions sociales vives, les débats de différentes formes, les projets d'établissement, etc. sont développés et </w:t>
      </w:r>
      <w:r w:rsidRPr="00A1765A">
        <w:rPr>
          <w:rFonts w:ascii="Arial" w:hAnsi="Arial" w:cs="Arial"/>
        </w:rPr>
        <w:t xml:space="preserve">on trouve encore l'idée d'un </w:t>
      </w:r>
      <w:r>
        <w:rPr>
          <w:rFonts w:ascii="Arial" w:hAnsi="Arial" w:cs="Arial"/>
        </w:rPr>
        <w:t>"</w:t>
      </w:r>
      <w:r w:rsidRPr="00A1765A">
        <w:rPr>
          <w:rFonts w:ascii="Arial" w:hAnsi="Arial" w:cs="Arial"/>
        </w:rPr>
        <w:t>es</w:t>
      </w:r>
      <w:r w:rsidRPr="00A1765A">
        <w:rPr>
          <w:rFonts w:ascii="Arial" w:eastAsia="Times New Roman" w:hAnsi="Arial" w:cs="Arial"/>
          <w:lang w:eastAsia="fr-CH"/>
        </w:rPr>
        <w:t>pace d’intéressement</w:t>
      </w:r>
      <w:r>
        <w:rPr>
          <w:rFonts w:ascii="Arial" w:eastAsia="Times New Roman" w:hAnsi="Arial" w:cs="Arial"/>
          <w:lang w:eastAsia="fr-CH"/>
        </w:rPr>
        <w:t>"</w:t>
      </w:r>
      <w:r w:rsidRPr="00A1765A">
        <w:rPr>
          <w:rFonts w:ascii="Arial" w:eastAsia="Times New Roman" w:hAnsi="Arial" w:cs="Arial"/>
          <w:lang w:eastAsia="fr-CH"/>
        </w:rPr>
        <w:t xml:space="preserve"> (Akrich, Callon, Latour, 1988 cité par </w:t>
      </w:r>
      <w:r w:rsidRPr="00A1765A">
        <w:rPr>
          <w:rFonts w:ascii="Arial" w:eastAsia="Times New Roman" w:hAnsi="Arial" w:cs="Arial"/>
          <w:lang w:eastAsia="fr-CH"/>
        </w:rPr>
        <w:fldChar w:fldCharType="begin"/>
      </w:r>
      <w:r w:rsidRPr="00A1765A">
        <w:rPr>
          <w:rFonts w:ascii="Arial" w:eastAsia="Times New Roman" w:hAnsi="Arial" w:cs="Arial"/>
          <w:lang w:eastAsia="fr-CH"/>
        </w:rPr>
        <w:instrText xml:space="preserve"> ADDIN ZOTERO_ITEM CSL_CITATION {"citationID":"14sfnqgk75","properties":{"formattedCitation":"(Tavignot, 2015, p. 480)","plainCitation":"(Tavignot, 2015, p. 480)"},"citationItems":[{"id":960,"uris":["http://zotero.org/users/322704/items/2T7IUCWA"],"uri":["http://zotero.org/users/322704/items/2T7IUCWA"],"itemData":{"id":960,"type":"chapter","title":"Synthèses : Les « éducations à ...  » un des leviers de transformation du système éducatif ? La question du changement dans le monde scolaire","container-title":"Actes du colloque_Les \"éducations à\": un (des) levier(s) de transformation du système éducatif?","publisher":"Université de Rouen","publisher-place":"Rouen","page":"479-487","event-place":"Rouen","author":[{"family":"Tavignot","given":"Patricia"}],"issued":{"date-parts":[["2015"]]}},"locator":"480"}],"schema":"https://github.com/citation-style-language/schema/raw/master/csl-citation.json"} </w:instrText>
      </w:r>
      <w:r w:rsidRPr="00A1765A">
        <w:rPr>
          <w:rFonts w:ascii="Arial" w:eastAsia="Times New Roman" w:hAnsi="Arial" w:cs="Arial"/>
          <w:lang w:eastAsia="fr-CH"/>
        </w:rPr>
        <w:fldChar w:fldCharType="separate"/>
      </w:r>
      <w:r w:rsidRPr="00A1765A">
        <w:rPr>
          <w:rFonts w:ascii="Arial" w:hAnsi="Arial" w:cs="Arial"/>
        </w:rPr>
        <w:t>Tavignot, 2015, p. 480</w:t>
      </w:r>
      <w:r w:rsidRPr="00A1765A">
        <w:rPr>
          <w:rFonts w:ascii="Arial" w:eastAsia="Times New Roman" w:hAnsi="Arial" w:cs="Arial"/>
          <w:lang w:eastAsia="fr-CH"/>
        </w:rPr>
        <w:fldChar w:fldCharType="end"/>
      </w:r>
      <w:r w:rsidRPr="00A1765A">
        <w:rPr>
          <w:rFonts w:ascii="Arial" w:eastAsia="Times New Roman" w:hAnsi="Arial" w:cs="Arial"/>
          <w:lang w:eastAsia="fr-CH"/>
        </w:rPr>
        <w:t xml:space="preserve">) qui </w:t>
      </w:r>
    </w:p>
    <w:p w14:paraId="743E9DE4" w14:textId="77777777" w:rsidR="00FD2C9B" w:rsidRPr="00A1765A" w:rsidRDefault="00FD2C9B" w:rsidP="00FD2C9B">
      <w:pPr>
        <w:pStyle w:val="Paragraphedeliste"/>
        <w:ind w:left="993"/>
        <w:jc w:val="both"/>
        <w:rPr>
          <w:rFonts w:ascii="Arial" w:hAnsi="Arial" w:cs="Arial"/>
          <w:sz w:val="20"/>
          <w:szCs w:val="20"/>
        </w:rPr>
      </w:pPr>
      <w:r w:rsidRPr="00A1765A">
        <w:rPr>
          <w:rFonts w:ascii="Arial" w:eastAsia="Times New Roman" w:hAnsi="Arial" w:cs="Arial"/>
          <w:sz w:val="20"/>
          <w:szCs w:val="20"/>
          <w:lang w:eastAsia="fr-CH"/>
        </w:rPr>
        <w:t>"est un lieu de circulation de savoirs. Cette circulation est portée par des acteurs issus de mondes différents qui par leur implication impulsent la coconstruction de nouveaux savoirs. Ceux-ci sont issus des rencontres mettant en jeu des savoirs présents dans chaque monde représenté dans l’espace d’intéressement. Ces savoirs élaborés dans l’espace commun sont le produit d’un travail collectif où chaque acteur trouve des intérêts conceptuels, sociaux ou politiques."</w:t>
      </w:r>
    </w:p>
    <w:p w14:paraId="213C1C95" w14:textId="77777777" w:rsidR="00FD2C9B" w:rsidRDefault="00FD2C9B" w:rsidP="00FD2C9B">
      <w:pPr>
        <w:pStyle w:val="Paragraphedeliste"/>
        <w:numPr>
          <w:ilvl w:val="0"/>
          <w:numId w:val="5"/>
        </w:numPr>
        <w:jc w:val="both"/>
        <w:rPr>
          <w:rFonts w:ascii="Arial" w:hAnsi="Arial" w:cs="Arial"/>
        </w:rPr>
      </w:pPr>
      <w:r>
        <w:rPr>
          <w:rFonts w:ascii="Arial" w:hAnsi="Arial" w:cs="Arial"/>
        </w:rPr>
        <w:t>Etc.</w:t>
      </w:r>
    </w:p>
    <w:p w14:paraId="1A213136" w14:textId="77777777" w:rsidR="00FD2C9B" w:rsidRPr="0001138F" w:rsidRDefault="00FD2C9B" w:rsidP="00FD2C9B">
      <w:pPr>
        <w:jc w:val="both"/>
        <w:rPr>
          <w:rFonts w:ascii="Arial" w:hAnsi="Arial" w:cs="Arial"/>
        </w:rPr>
      </w:pPr>
      <w:r>
        <w:rPr>
          <w:rFonts w:ascii="Arial" w:hAnsi="Arial" w:cs="Arial"/>
        </w:rPr>
        <w:t>La formation des enseignants dans le domaine de la didactique des SHS a pour tâche, entre autres, d'outiller les futurs enseignants à l'utilisation de la problématisation, de faire connaître les différentes "éducations à" en lien avec le plan d'études et de développer avec eux des démarches didactiques pour assurer une cohérence entre le milieu didactique qui est mis en place dans les classes.</w:t>
      </w:r>
    </w:p>
    <w:p w14:paraId="0669971F" w14:textId="77777777" w:rsidR="00FD2C9B" w:rsidRPr="00850249" w:rsidRDefault="00FD2C9B" w:rsidP="00FD2C9B">
      <w:pPr>
        <w:spacing w:after="0"/>
        <w:rPr>
          <w:rFonts w:ascii="Arial" w:hAnsi="Arial" w:cs="Arial"/>
          <w:b/>
          <w:color w:val="000000" w:themeColor="text1"/>
          <w:szCs w:val="20"/>
        </w:rPr>
      </w:pPr>
      <w:r w:rsidRPr="00850249">
        <w:rPr>
          <w:rFonts w:ascii="Arial" w:hAnsi="Arial" w:cs="Arial"/>
          <w:b/>
          <w:color w:val="000000" w:themeColor="text1"/>
          <w:szCs w:val="20"/>
        </w:rPr>
        <w:t>Références citées</w:t>
      </w:r>
    </w:p>
    <w:p w14:paraId="1BD74413" w14:textId="77777777" w:rsidR="00FD2C9B" w:rsidRPr="0001138F" w:rsidRDefault="00FD2C9B" w:rsidP="00FD2C9B">
      <w:pPr>
        <w:pStyle w:val="Bibliographie"/>
        <w:spacing w:after="0" w:line="240" w:lineRule="auto"/>
        <w:ind w:left="426" w:hanging="426"/>
        <w:rPr>
          <w:sz w:val="20"/>
        </w:rPr>
      </w:pPr>
      <w:r w:rsidRPr="00352C56">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ADDIN ZOTERO_BIBL {"custom":[]} CSL_BIBLIOGRAPHY </w:instrText>
      </w:r>
      <w:r w:rsidRPr="00352C56">
        <w:rPr>
          <w:rFonts w:ascii="Arial" w:hAnsi="Arial" w:cs="Arial"/>
          <w:color w:val="000000" w:themeColor="text1"/>
          <w:sz w:val="20"/>
          <w:szCs w:val="20"/>
        </w:rPr>
        <w:fldChar w:fldCharType="separate"/>
      </w:r>
      <w:r w:rsidRPr="0001138F">
        <w:rPr>
          <w:sz w:val="20"/>
        </w:rPr>
        <w:t xml:space="preserve">Awais, N., Heinzen, S., Jenni, P., Pellaud, F., &amp; Muster, S. (2015). Voulez-vous problématiser avec moi? </w:t>
      </w:r>
      <w:r w:rsidRPr="0001138F">
        <w:rPr>
          <w:i/>
          <w:iCs/>
          <w:sz w:val="20"/>
        </w:rPr>
        <w:t>Formation et pratiques d’enseignement en question</w:t>
      </w:r>
      <w:r w:rsidRPr="0001138F">
        <w:rPr>
          <w:sz w:val="20"/>
        </w:rPr>
        <w:t xml:space="preserve">, </w:t>
      </w:r>
      <w:r w:rsidRPr="0001138F">
        <w:rPr>
          <w:i/>
          <w:iCs/>
          <w:sz w:val="20"/>
        </w:rPr>
        <w:t>18</w:t>
      </w:r>
      <w:r w:rsidRPr="0001138F">
        <w:rPr>
          <w:sz w:val="20"/>
        </w:rPr>
        <w:t>, 15.</w:t>
      </w:r>
    </w:p>
    <w:p w14:paraId="2C5B4F24" w14:textId="77777777" w:rsidR="00FD2C9B" w:rsidRPr="0001138F" w:rsidRDefault="00FD2C9B" w:rsidP="00FD2C9B">
      <w:pPr>
        <w:pStyle w:val="Bibliographie"/>
        <w:spacing w:after="0" w:line="240" w:lineRule="auto"/>
        <w:ind w:left="426" w:hanging="426"/>
        <w:rPr>
          <w:sz w:val="20"/>
        </w:rPr>
      </w:pPr>
      <w:r w:rsidRPr="0001138F">
        <w:rPr>
          <w:sz w:val="20"/>
        </w:rPr>
        <w:t xml:space="preserve">Fabre, M. (2015). « Education à » et problématisation. In J.-M. Lange, </w:t>
      </w:r>
      <w:r w:rsidRPr="0001138F">
        <w:rPr>
          <w:i/>
          <w:iCs/>
          <w:sz w:val="20"/>
        </w:rPr>
        <w:t>Actes du colloque_Les « éducations à »: un (des) levier(s) de transformation du système éducatif?</w:t>
      </w:r>
      <w:r w:rsidRPr="0001138F">
        <w:rPr>
          <w:sz w:val="20"/>
        </w:rPr>
        <w:t xml:space="preserve"> (p. 25</w:t>
      </w:r>
      <w:r w:rsidRPr="0001138F">
        <w:rPr>
          <w:rFonts w:ascii="Cambria Math" w:hAnsi="Cambria Math" w:cs="Cambria Math"/>
          <w:sz w:val="20"/>
        </w:rPr>
        <w:t>‑</w:t>
      </w:r>
      <w:r w:rsidRPr="0001138F">
        <w:rPr>
          <w:sz w:val="20"/>
        </w:rPr>
        <w:t>35). Rouen: Université de Rouen. Consulté à l’adresse https://halshs.archives-ouvertes.fr/halshs-01183403/document</w:t>
      </w:r>
    </w:p>
    <w:p w14:paraId="45F7E16F" w14:textId="77777777" w:rsidR="00FD2C9B" w:rsidRPr="0001138F" w:rsidRDefault="00FD2C9B" w:rsidP="00FD2C9B">
      <w:pPr>
        <w:pStyle w:val="Bibliographie"/>
        <w:spacing w:after="0" w:line="240" w:lineRule="auto"/>
        <w:ind w:left="426" w:hanging="426"/>
        <w:rPr>
          <w:sz w:val="20"/>
        </w:rPr>
      </w:pPr>
      <w:r w:rsidRPr="0001138F">
        <w:rPr>
          <w:sz w:val="20"/>
        </w:rPr>
        <w:t xml:space="preserve">Fourez, G., Maingain, A., &amp; Dufour, B. (2002). </w:t>
      </w:r>
      <w:r w:rsidRPr="0001138F">
        <w:rPr>
          <w:i/>
          <w:iCs/>
          <w:sz w:val="20"/>
        </w:rPr>
        <w:t>Approches didactiques de l’interdisciplinarité</w:t>
      </w:r>
      <w:r w:rsidRPr="0001138F">
        <w:rPr>
          <w:sz w:val="20"/>
        </w:rPr>
        <w:t>. Bruxelles: De Boeck Université.</w:t>
      </w:r>
    </w:p>
    <w:p w14:paraId="5190327E" w14:textId="77777777" w:rsidR="00FD2C9B" w:rsidRPr="0001138F" w:rsidRDefault="00FD2C9B" w:rsidP="00FD2C9B">
      <w:pPr>
        <w:pStyle w:val="Bibliographie"/>
        <w:spacing w:after="0" w:line="240" w:lineRule="auto"/>
        <w:ind w:left="426" w:hanging="426"/>
        <w:rPr>
          <w:sz w:val="20"/>
        </w:rPr>
      </w:pPr>
      <w:r w:rsidRPr="0001138F">
        <w:rPr>
          <w:sz w:val="20"/>
        </w:rPr>
        <w:t xml:space="preserve">Guba, E. G., &amp; Lincoln, Y. S. (2005). Paradigmatic controversies, contradictions, and emerging confluences. In </w:t>
      </w:r>
      <w:r w:rsidRPr="0001138F">
        <w:rPr>
          <w:i/>
          <w:iCs/>
          <w:sz w:val="20"/>
        </w:rPr>
        <w:t>The Sage Handbook of Qualitative Research</w:t>
      </w:r>
      <w:r w:rsidRPr="0001138F">
        <w:rPr>
          <w:sz w:val="20"/>
        </w:rPr>
        <w:t xml:space="preserve"> (Sage Publication, p. 191</w:t>
      </w:r>
      <w:r w:rsidRPr="0001138F">
        <w:rPr>
          <w:rFonts w:ascii="Cambria Math" w:hAnsi="Cambria Math" w:cs="Cambria Math"/>
          <w:sz w:val="20"/>
        </w:rPr>
        <w:t>‑</w:t>
      </w:r>
      <w:r w:rsidRPr="0001138F">
        <w:rPr>
          <w:sz w:val="20"/>
        </w:rPr>
        <w:t>215). Thousand Oaks - London _ New Delhi: Norman K. Denzin &amp; Yvonna S. Lincoln.</w:t>
      </w:r>
    </w:p>
    <w:p w14:paraId="23EDFD71" w14:textId="77777777" w:rsidR="00FD2C9B" w:rsidRPr="0001138F" w:rsidRDefault="00FD2C9B" w:rsidP="00FD2C9B">
      <w:pPr>
        <w:pStyle w:val="Bibliographie"/>
        <w:spacing w:after="0" w:line="240" w:lineRule="auto"/>
        <w:ind w:left="426" w:hanging="426"/>
        <w:rPr>
          <w:sz w:val="20"/>
        </w:rPr>
      </w:pPr>
      <w:r w:rsidRPr="0001138F">
        <w:rPr>
          <w:sz w:val="20"/>
        </w:rPr>
        <w:t xml:space="preserve">Lange, J.-M. (Éd.). (2015). </w:t>
      </w:r>
      <w:r w:rsidRPr="0001138F">
        <w:rPr>
          <w:i/>
          <w:iCs/>
          <w:sz w:val="20"/>
        </w:rPr>
        <w:t>Actes du colloque_Les « éducations à »: un (des) levier(s) de transformation du système éducatif?</w:t>
      </w:r>
      <w:r w:rsidRPr="0001138F">
        <w:rPr>
          <w:sz w:val="20"/>
        </w:rPr>
        <w:t xml:space="preserve"> Rouen: Université de Rouen.</w:t>
      </w:r>
    </w:p>
    <w:p w14:paraId="7C20A094" w14:textId="77777777" w:rsidR="00FD2C9B" w:rsidRPr="0001138F" w:rsidRDefault="00FD2C9B" w:rsidP="00FD2C9B">
      <w:pPr>
        <w:pStyle w:val="Bibliographie"/>
        <w:spacing w:after="0" w:line="240" w:lineRule="auto"/>
        <w:ind w:left="426" w:hanging="426"/>
        <w:rPr>
          <w:sz w:val="20"/>
        </w:rPr>
      </w:pPr>
      <w:r w:rsidRPr="0001138F">
        <w:rPr>
          <w:sz w:val="20"/>
        </w:rPr>
        <w:t>Mugrabi, E., &amp; Awais, N. ([à paraître]). La séquence didactique interdisciplinaire dans une approche textuelle.</w:t>
      </w:r>
    </w:p>
    <w:p w14:paraId="0ABD4761" w14:textId="77777777" w:rsidR="00FD2C9B" w:rsidRPr="0001138F" w:rsidRDefault="00FD2C9B" w:rsidP="00FD2C9B">
      <w:pPr>
        <w:pStyle w:val="Bibliographie"/>
        <w:spacing w:after="0" w:line="240" w:lineRule="auto"/>
        <w:ind w:left="426" w:hanging="426"/>
        <w:rPr>
          <w:sz w:val="20"/>
        </w:rPr>
      </w:pPr>
      <w:r w:rsidRPr="0001138F">
        <w:rPr>
          <w:sz w:val="20"/>
        </w:rPr>
        <w:t xml:space="preserve">Perrenoud, P. (1998). La transposition didactique à partir de pratiques : des savoirs aux compétences. </w:t>
      </w:r>
      <w:r w:rsidRPr="0001138F">
        <w:rPr>
          <w:i/>
          <w:iCs/>
          <w:sz w:val="20"/>
        </w:rPr>
        <w:t>Revue des sciences de l’éducation</w:t>
      </w:r>
      <w:r w:rsidRPr="0001138F">
        <w:rPr>
          <w:sz w:val="20"/>
        </w:rPr>
        <w:t xml:space="preserve">, </w:t>
      </w:r>
      <w:r w:rsidRPr="0001138F">
        <w:rPr>
          <w:i/>
          <w:iCs/>
          <w:sz w:val="20"/>
        </w:rPr>
        <w:t>24</w:t>
      </w:r>
      <w:r w:rsidRPr="0001138F">
        <w:rPr>
          <w:sz w:val="20"/>
        </w:rPr>
        <w:t>(3), 487. http://doi.org/10.7202/031969ar</w:t>
      </w:r>
    </w:p>
    <w:p w14:paraId="1A680039" w14:textId="77777777" w:rsidR="00FD2C9B" w:rsidRPr="0001138F" w:rsidRDefault="00FD2C9B" w:rsidP="00FD2C9B">
      <w:pPr>
        <w:pStyle w:val="Bibliographie"/>
        <w:spacing w:after="0" w:line="240" w:lineRule="auto"/>
        <w:ind w:left="426" w:hanging="426"/>
        <w:rPr>
          <w:sz w:val="20"/>
        </w:rPr>
      </w:pPr>
      <w:r w:rsidRPr="0001138F">
        <w:rPr>
          <w:sz w:val="20"/>
        </w:rPr>
        <w:t xml:space="preserve">Pourtois, J.-P., &amp; Desmet, H. (2007). </w:t>
      </w:r>
      <w:r w:rsidRPr="0001138F">
        <w:rPr>
          <w:i/>
          <w:iCs/>
          <w:sz w:val="20"/>
        </w:rPr>
        <w:t>Epistémologie et instrumentation en sciences humaines</w:t>
      </w:r>
      <w:r w:rsidRPr="0001138F">
        <w:rPr>
          <w:sz w:val="20"/>
        </w:rPr>
        <w:t>. Editions Mardaga.</w:t>
      </w:r>
    </w:p>
    <w:p w14:paraId="22DD5616" w14:textId="77777777" w:rsidR="00FD2C9B" w:rsidRPr="0001138F" w:rsidRDefault="00FD2C9B" w:rsidP="00FD2C9B">
      <w:pPr>
        <w:pStyle w:val="Bibliographie"/>
        <w:spacing w:after="0" w:line="240" w:lineRule="auto"/>
        <w:ind w:left="426" w:hanging="426"/>
        <w:rPr>
          <w:sz w:val="20"/>
        </w:rPr>
      </w:pPr>
      <w:r w:rsidRPr="0001138F">
        <w:rPr>
          <w:sz w:val="20"/>
        </w:rPr>
        <w:t xml:space="preserve">Sensevy, G. (2011). </w:t>
      </w:r>
      <w:r w:rsidRPr="0001138F">
        <w:rPr>
          <w:i/>
          <w:iCs/>
          <w:sz w:val="20"/>
        </w:rPr>
        <w:t>Le sens du savoir. Eléments pour une théorie de l’action conjointe en didactique</w:t>
      </w:r>
      <w:r w:rsidRPr="0001138F">
        <w:rPr>
          <w:sz w:val="20"/>
        </w:rPr>
        <w:t>. Bruxelles: De Boeck.</w:t>
      </w:r>
    </w:p>
    <w:p w14:paraId="203C597E" w14:textId="77777777" w:rsidR="00FD2C9B" w:rsidRPr="0001138F" w:rsidRDefault="00FD2C9B" w:rsidP="00FD2C9B">
      <w:pPr>
        <w:pStyle w:val="Bibliographie"/>
        <w:spacing w:after="0" w:line="240" w:lineRule="auto"/>
        <w:ind w:left="426" w:hanging="426"/>
        <w:rPr>
          <w:sz w:val="20"/>
        </w:rPr>
      </w:pPr>
      <w:r w:rsidRPr="0001138F">
        <w:rPr>
          <w:sz w:val="20"/>
        </w:rPr>
        <w:t xml:space="preserve">Tavignot, P. (2015). Synthèses : Les « éducations à ...  » un des leviers de transformation du système éducatif ? La question du changement dans le monde scolaire. In </w:t>
      </w:r>
      <w:r w:rsidRPr="0001138F">
        <w:rPr>
          <w:i/>
          <w:iCs/>
          <w:sz w:val="20"/>
        </w:rPr>
        <w:t>Actes du colloque_Les « éducations à »: un (des) levier(s) de transformation du système éducatif?</w:t>
      </w:r>
      <w:r w:rsidRPr="0001138F">
        <w:rPr>
          <w:sz w:val="20"/>
        </w:rPr>
        <w:t xml:space="preserve"> (p. 479</w:t>
      </w:r>
      <w:r w:rsidRPr="0001138F">
        <w:rPr>
          <w:rFonts w:ascii="Cambria Math" w:hAnsi="Cambria Math" w:cs="Cambria Math"/>
          <w:sz w:val="20"/>
        </w:rPr>
        <w:t>‑</w:t>
      </w:r>
      <w:r w:rsidRPr="0001138F">
        <w:rPr>
          <w:sz w:val="20"/>
        </w:rPr>
        <w:t>487). Rouen: Université de Rouen.</w:t>
      </w:r>
    </w:p>
    <w:p w14:paraId="464205E6" w14:textId="77777777" w:rsidR="00FD2C9B" w:rsidRPr="0001138F" w:rsidRDefault="00FD2C9B" w:rsidP="00FD2C9B">
      <w:pPr>
        <w:pStyle w:val="Bibliographie"/>
        <w:spacing w:after="0" w:line="240" w:lineRule="auto"/>
        <w:ind w:left="426" w:hanging="426"/>
        <w:rPr>
          <w:sz w:val="20"/>
        </w:rPr>
      </w:pPr>
      <w:r w:rsidRPr="0001138F">
        <w:rPr>
          <w:sz w:val="20"/>
        </w:rPr>
        <w:t xml:space="preserve">Vygotski, L. S. (1997). </w:t>
      </w:r>
      <w:r w:rsidRPr="0001138F">
        <w:rPr>
          <w:i/>
          <w:iCs/>
          <w:sz w:val="20"/>
        </w:rPr>
        <w:t>Pensée et langage</w:t>
      </w:r>
      <w:r w:rsidRPr="0001138F">
        <w:rPr>
          <w:sz w:val="20"/>
        </w:rPr>
        <w:t xml:space="preserve"> (1ère ed. 1934). Paris: La Dispute.</w:t>
      </w:r>
    </w:p>
    <w:p w14:paraId="12E53B92" w14:textId="137EF3F8" w:rsidR="00963ED4" w:rsidRPr="00FD2C9B" w:rsidRDefault="00FD2C9B" w:rsidP="00FD2C9B">
      <w:pPr>
        <w:pStyle w:val="Retraitcorpset1relig"/>
        <w:spacing w:after="0"/>
        <w:ind w:left="567" w:hanging="567"/>
        <w:jc w:val="both"/>
        <w:rPr>
          <w:rFonts w:ascii="Arial" w:hAnsi="Arial" w:cs="Arial"/>
          <w:b/>
          <w:sz w:val="22"/>
          <w:szCs w:val="22"/>
        </w:rPr>
      </w:pPr>
      <w:r w:rsidRPr="00352C56">
        <w:rPr>
          <w:rFonts w:ascii="Arial" w:hAnsi="Arial" w:cs="Arial"/>
          <w:color w:val="000000" w:themeColor="text1"/>
        </w:rPr>
        <w:lastRenderedPageBreak/>
        <w:fldChar w:fldCharType="end"/>
      </w:r>
    </w:p>
    <w:p w14:paraId="677D7FB5" w14:textId="3C86F002" w:rsidR="00E503C1" w:rsidRDefault="00E503C1" w:rsidP="00E503C1">
      <w:pPr>
        <w:jc w:val="center"/>
        <w:rPr>
          <w:rFonts w:ascii="Arial" w:hAnsi="Arial" w:cs="Arial"/>
          <w:b/>
          <w:sz w:val="24"/>
          <w:szCs w:val="24"/>
        </w:rPr>
      </w:pPr>
      <w:r w:rsidRPr="00963ED4">
        <w:rPr>
          <w:rFonts w:ascii="Arial" w:hAnsi="Arial" w:cs="Arial"/>
          <w:b/>
        </w:rPr>
        <w:t xml:space="preserve">Communication </w:t>
      </w:r>
      <w:r>
        <w:rPr>
          <w:rFonts w:ascii="Arial" w:hAnsi="Arial" w:cs="Arial"/>
          <w:b/>
        </w:rPr>
        <w:t>2</w:t>
      </w:r>
      <w:r w:rsidRPr="00E503C1">
        <w:rPr>
          <w:rFonts w:ascii="Arial" w:hAnsi="Arial" w:cs="Arial"/>
          <w:b/>
          <w:sz w:val="24"/>
          <w:szCs w:val="24"/>
        </w:rPr>
        <w:t xml:space="preserve"> </w:t>
      </w:r>
    </w:p>
    <w:p w14:paraId="6150E9FC" w14:textId="77777777" w:rsidR="00E503C1" w:rsidRPr="00E503C1" w:rsidRDefault="00E503C1" w:rsidP="00E503C1">
      <w:pPr>
        <w:spacing w:after="0" w:line="240" w:lineRule="auto"/>
        <w:jc w:val="center"/>
        <w:rPr>
          <w:rFonts w:ascii="Times New Roman" w:hAnsi="Times New Roman" w:cs="Times New Roman"/>
          <w:b/>
          <w:sz w:val="28"/>
          <w:szCs w:val="28"/>
        </w:rPr>
      </w:pPr>
      <w:r w:rsidRPr="00E503C1">
        <w:rPr>
          <w:rFonts w:ascii="Times New Roman" w:hAnsi="Times New Roman" w:cs="Times New Roman"/>
          <w:b/>
          <w:sz w:val="28"/>
          <w:szCs w:val="28"/>
        </w:rPr>
        <w:t xml:space="preserve">Les analyses de préparations de séquences comme éléments </w:t>
      </w:r>
    </w:p>
    <w:p w14:paraId="782D4CB9" w14:textId="77777777" w:rsidR="00E503C1" w:rsidRPr="00E503C1" w:rsidRDefault="00E503C1" w:rsidP="00E503C1">
      <w:pPr>
        <w:spacing w:after="0" w:line="240" w:lineRule="auto"/>
        <w:jc w:val="center"/>
        <w:rPr>
          <w:rFonts w:ascii="Times New Roman" w:hAnsi="Times New Roman" w:cs="Times New Roman"/>
          <w:b/>
          <w:sz w:val="28"/>
          <w:szCs w:val="28"/>
        </w:rPr>
      </w:pPr>
      <w:r w:rsidRPr="00E503C1">
        <w:rPr>
          <w:rFonts w:ascii="Times New Roman" w:hAnsi="Times New Roman" w:cs="Times New Roman"/>
          <w:b/>
          <w:sz w:val="28"/>
          <w:szCs w:val="28"/>
        </w:rPr>
        <w:t>du milieu pour la formation</w:t>
      </w:r>
    </w:p>
    <w:p w14:paraId="7CE54FC9" w14:textId="77777777" w:rsidR="00E503C1" w:rsidRPr="0089725F" w:rsidRDefault="00E503C1" w:rsidP="00E503C1">
      <w:pPr>
        <w:jc w:val="center"/>
        <w:rPr>
          <w:rFonts w:ascii="Times New Roman" w:hAnsi="Times New Roman" w:cs="Times New Roman"/>
        </w:rPr>
      </w:pPr>
    </w:p>
    <w:p w14:paraId="0432D885" w14:textId="77777777" w:rsidR="00E503C1" w:rsidRPr="00F84127" w:rsidRDefault="00E503C1" w:rsidP="00E503C1">
      <w:pPr>
        <w:spacing w:after="0" w:line="240" w:lineRule="auto"/>
        <w:jc w:val="center"/>
        <w:rPr>
          <w:rFonts w:ascii="Arial" w:hAnsi="Arial" w:cs="Arial"/>
          <w:b/>
        </w:rPr>
      </w:pPr>
      <w:r w:rsidRPr="00F84127">
        <w:rPr>
          <w:rFonts w:ascii="Arial" w:hAnsi="Arial" w:cs="Arial"/>
          <w:b/>
        </w:rPr>
        <w:t>Sylvie Coppé</w:t>
      </w:r>
    </w:p>
    <w:p w14:paraId="2DA91B98" w14:textId="638AE140" w:rsidR="00E503C1" w:rsidRPr="00F84127" w:rsidRDefault="00E503C1" w:rsidP="00E503C1">
      <w:pPr>
        <w:spacing w:after="0" w:line="240" w:lineRule="auto"/>
        <w:jc w:val="center"/>
        <w:rPr>
          <w:rFonts w:ascii="Arial" w:hAnsi="Arial" w:cs="Arial"/>
        </w:rPr>
      </w:pPr>
      <w:r w:rsidRPr="00F84127">
        <w:rPr>
          <w:rFonts w:ascii="Arial" w:hAnsi="Arial" w:cs="Arial"/>
        </w:rPr>
        <w:t>Université de Genève FPSE, Equipe DiMaGe</w:t>
      </w:r>
    </w:p>
    <w:p w14:paraId="4B944F50" w14:textId="77777777" w:rsidR="00E503C1" w:rsidRPr="00F84127" w:rsidRDefault="00E503C1" w:rsidP="00E503C1">
      <w:pPr>
        <w:jc w:val="right"/>
        <w:rPr>
          <w:rFonts w:ascii="Arial" w:hAnsi="Arial" w:cs="Arial"/>
        </w:rPr>
      </w:pPr>
    </w:p>
    <w:p w14:paraId="6C19D96E" w14:textId="422CDCD9" w:rsidR="00E503C1" w:rsidRPr="00F84127" w:rsidRDefault="00E503C1" w:rsidP="00F84127">
      <w:pPr>
        <w:jc w:val="both"/>
        <w:rPr>
          <w:rFonts w:ascii="Arial" w:hAnsi="Arial" w:cs="Arial"/>
        </w:rPr>
      </w:pPr>
      <w:r w:rsidRPr="00F84127">
        <w:rPr>
          <w:rFonts w:ascii="Arial" w:hAnsi="Arial" w:cs="Arial"/>
          <w:b/>
        </w:rPr>
        <w:t>Mots clefs :</w:t>
      </w:r>
      <w:r w:rsidRPr="00F84127">
        <w:rPr>
          <w:rFonts w:ascii="Arial" w:hAnsi="Arial" w:cs="Arial"/>
        </w:rPr>
        <w:t xml:space="preserve"> didactique des mathématiques – formation des enseignants- connaissances professionnelles- préparation de séquences- milieu du professeur</w:t>
      </w:r>
    </w:p>
    <w:p w14:paraId="36B73B49" w14:textId="77777777" w:rsidR="00E503C1" w:rsidRPr="0089725F" w:rsidRDefault="00E503C1" w:rsidP="00E503C1">
      <w:pPr>
        <w:jc w:val="both"/>
        <w:rPr>
          <w:rFonts w:ascii="Times New Roman" w:hAnsi="Times New Roman" w:cs="Times New Roman"/>
          <w:b/>
        </w:rPr>
      </w:pPr>
      <w:r w:rsidRPr="0089725F">
        <w:rPr>
          <w:rFonts w:ascii="Times New Roman" w:hAnsi="Times New Roman" w:cs="Times New Roman"/>
          <w:b/>
        </w:rPr>
        <w:t xml:space="preserve">Résumé court </w:t>
      </w:r>
    </w:p>
    <w:p w14:paraId="2E6A2FC5" w14:textId="77777777" w:rsidR="00E503C1" w:rsidRPr="0089725F" w:rsidRDefault="00E503C1" w:rsidP="00E503C1">
      <w:pPr>
        <w:jc w:val="both"/>
        <w:rPr>
          <w:rFonts w:ascii="Times New Roman" w:hAnsi="Times New Roman" w:cs="Times New Roman"/>
        </w:rPr>
      </w:pPr>
      <w:r w:rsidRPr="0089725F">
        <w:rPr>
          <w:rFonts w:ascii="Times New Roman" w:hAnsi="Times New Roman" w:cs="Times New Roman"/>
        </w:rPr>
        <w:t>A travers la description et l’analyse d’un dispositif de formation de formateurs dans lequel on propose aux participants de travailler sur des préparations de séquences/séances de classe en mathématiques second degré</w:t>
      </w:r>
      <w:r>
        <w:rPr>
          <w:rFonts w:ascii="Times New Roman" w:hAnsi="Times New Roman" w:cs="Times New Roman"/>
        </w:rPr>
        <w:t>,</w:t>
      </w:r>
      <w:r w:rsidRPr="0089725F">
        <w:rPr>
          <w:rFonts w:ascii="Times New Roman" w:hAnsi="Times New Roman" w:cs="Times New Roman"/>
        </w:rPr>
        <w:t xml:space="preserve"> fournies par des enseignants débutants, nous souhaitons travailler sur les différents types de savoir en jeu dans l’activité d’enseignement des mathématiques. </w:t>
      </w:r>
      <w:r>
        <w:rPr>
          <w:rFonts w:ascii="Times New Roman" w:hAnsi="Times New Roman" w:cs="Times New Roman"/>
        </w:rPr>
        <w:t>L</w:t>
      </w:r>
      <w:r w:rsidRPr="0089725F">
        <w:rPr>
          <w:rFonts w:ascii="Times New Roman" w:hAnsi="Times New Roman" w:cs="Times New Roman"/>
        </w:rPr>
        <w:t xml:space="preserve">’activité de préparation de séquences fait partie des pratiques enseignantes </w:t>
      </w:r>
      <w:r>
        <w:rPr>
          <w:rFonts w:ascii="Times New Roman" w:hAnsi="Times New Roman" w:cs="Times New Roman"/>
        </w:rPr>
        <w:t>c</w:t>
      </w:r>
      <w:r w:rsidRPr="0089725F">
        <w:rPr>
          <w:rFonts w:ascii="Times New Roman" w:hAnsi="Times New Roman" w:cs="Times New Roman"/>
        </w:rPr>
        <w:t xml:space="preserve">omme le soulignent Robert (2001) et Robert et Rogalski (2002) dans le cadre de la double approche ergonomique et didactique, et </w:t>
      </w:r>
      <w:r>
        <w:rPr>
          <w:rFonts w:ascii="Times New Roman" w:hAnsi="Times New Roman" w:cs="Times New Roman"/>
        </w:rPr>
        <w:t>nous pensons qu’</w:t>
      </w:r>
      <w:r w:rsidRPr="0089725F">
        <w:rPr>
          <w:rFonts w:ascii="Times New Roman" w:hAnsi="Times New Roman" w:cs="Times New Roman"/>
        </w:rPr>
        <w:t>elle nécessite que le professeur mobilise différentes connaissances (et savoir faire) qu’on peut analyser suivant les classifications (générales) des connaissances des enseignants de Schulman (1987) ou de Ball et al. (2008).</w:t>
      </w:r>
    </w:p>
    <w:p w14:paraId="2803901B" w14:textId="4E215888" w:rsidR="00E503C1" w:rsidRPr="0089725F" w:rsidRDefault="00E503C1" w:rsidP="00E503C1">
      <w:pPr>
        <w:jc w:val="both"/>
        <w:rPr>
          <w:rFonts w:ascii="Times New Roman" w:hAnsi="Times New Roman" w:cs="Times New Roman"/>
        </w:rPr>
      </w:pPr>
      <w:r w:rsidRPr="0089725F">
        <w:rPr>
          <w:rFonts w:ascii="Times New Roman" w:hAnsi="Times New Roman" w:cs="Times New Roman"/>
        </w:rPr>
        <w:t xml:space="preserve">En étudiant comment les jeunes enseignants en fin de formation initiale, préparait leurs séquences de classe, nous avions montré que ceux –ci avaient des difficultés à mobiliser ces différents types de connaissances et à les articuler </w:t>
      </w:r>
      <w:r>
        <w:rPr>
          <w:rFonts w:ascii="Times New Roman" w:hAnsi="Times New Roman" w:cs="Times New Roman"/>
        </w:rPr>
        <w:t>(Coppé, 2007</w:t>
      </w:r>
      <w:r w:rsidRPr="0089725F">
        <w:rPr>
          <w:rFonts w:ascii="Times New Roman" w:hAnsi="Times New Roman" w:cs="Times New Roman"/>
        </w:rPr>
        <w:t>). Nous faisons donc l’hypothèse que, en formation des maîtres ou en formation de formateurs, le travail sur les préparations de séquences peut permettre d’enrichir le milieu du professeur ou du formateur par la détermination d’éléments (présents ou absents) relevant de ces différents types de connaissances</w:t>
      </w:r>
      <w:r>
        <w:rPr>
          <w:rFonts w:ascii="Times New Roman" w:hAnsi="Times New Roman" w:cs="Times New Roman"/>
        </w:rPr>
        <w:t xml:space="preserve"> mais aussi de prendre en compte l’articulation entre savoirs disciplinaires et didactiques pour enseigner.</w:t>
      </w:r>
    </w:p>
    <w:p w14:paraId="2BBC2072" w14:textId="77777777" w:rsidR="00E503C1" w:rsidRPr="0089725F" w:rsidRDefault="00E503C1" w:rsidP="00E503C1">
      <w:pPr>
        <w:jc w:val="both"/>
        <w:rPr>
          <w:rFonts w:ascii="Times New Roman" w:hAnsi="Times New Roman" w:cs="Times New Roman"/>
          <w:b/>
        </w:rPr>
      </w:pPr>
      <w:r w:rsidRPr="0089725F">
        <w:rPr>
          <w:rFonts w:ascii="Times New Roman" w:hAnsi="Times New Roman" w:cs="Times New Roman"/>
          <w:b/>
        </w:rPr>
        <w:t>Résumé long</w:t>
      </w:r>
    </w:p>
    <w:p w14:paraId="6B357793" w14:textId="77777777" w:rsidR="00E503C1" w:rsidRPr="0089725F" w:rsidRDefault="00E503C1" w:rsidP="00E503C1">
      <w:pPr>
        <w:jc w:val="both"/>
        <w:rPr>
          <w:rFonts w:ascii="Times New Roman" w:hAnsi="Times New Roman" w:cs="Times New Roman"/>
        </w:rPr>
      </w:pPr>
      <w:r w:rsidRPr="0089725F">
        <w:rPr>
          <w:rFonts w:ascii="Times New Roman" w:hAnsi="Times New Roman" w:cs="Times New Roman"/>
        </w:rPr>
        <w:t xml:space="preserve">Dans cette communication, nous nous appuierons sur la description et l’analyse d’un dispositif de formation de formateurs dans lequel on propose aux participants de travailler sur des préparations de séquences/séances de classe en mathématiques second degré, fournies par des enseignants débutants. Nous souhaitons ainsi travailler sur les différents types de savoir en jeu dans l’activité d’enseignement des mathématiques. </w:t>
      </w:r>
      <w:r>
        <w:rPr>
          <w:rFonts w:ascii="Times New Roman" w:hAnsi="Times New Roman" w:cs="Times New Roman"/>
        </w:rPr>
        <w:t>L</w:t>
      </w:r>
      <w:r w:rsidRPr="0089725F">
        <w:rPr>
          <w:rFonts w:ascii="Times New Roman" w:hAnsi="Times New Roman" w:cs="Times New Roman"/>
        </w:rPr>
        <w:t xml:space="preserve">’activité de préparation de séquences fait partie des pratiques enseignantes </w:t>
      </w:r>
      <w:r>
        <w:rPr>
          <w:rFonts w:ascii="Times New Roman" w:hAnsi="Times New Roman" w:cs="Times New Roman"/>
        </w:rPr>
        <w:t>c</w:t>
      </w:r>
      <w:r w:rsidRPr="0089725F">
        <w:rPr>
          <w:rFonts w:ascii="Times New Roman" w:hAnsi="Times New Roman" w:cs="Times New Roman"/>
        </w:rPr>
        <w:t xml:space="preserve">omme le soulignent Robert (2001) et Robert et Rogalski (2002) dans le cadre de la double approche ergonomique et didactique, et </w:t>
      </w:r>
      <w:r>
        <w:rPr>
          <w:rFonts w:ascii="Times New Roman" w:hAnsi="Times New Roman" w:cs="Times New Roman"/>
        </w:rPr>
        <w:t>nous pensons qu’</w:t>
      </w:r>
      <w:r w:rsidRPr="0089725F">
        <w:rPr>
          <w:rFonts w:ascii="Times New Roman" w:hAnsi="Times New Roman" w:cs="Times New Roman"/>
        </w:rPr>
        <w:t>elle nécessite que le professeur mobilise différentes connaissances (et savoir faire) qu’on peut analyser suivant les classifications (générales) des con</w:t>
      </w:r>
      <w:r>
        <w:rPr>
          <w:rFonts w:ascii="Times New Roman" w:hAnsi="Times New Roman" w:cs="Times New Roman"/>
        </w:rPr>
        <w:t>naissances des enseignants de S</w:t>
      </w:r>
      <w:r w:rsidRPr="0089725F">
        <w:rPr>
          <w:rFonts w:ascii="Times New Roman" w:hAnsi="Times New Roman" w:cs="Times New Roman"/>
        </w:rPr>
        <w:t>hulman (1987) ou de Ball et al. (2008).</w:t>
      </w:r>
    </w:p>
    <w:p w14:paraId="7D392B26" w14:textId="77777777" w:rsidR="00E503C1" w:rsidRPr="0089725F" w:rsidRDefault="00E503C1" w:rsidP="00F84127">
      <w:pPr>
        <w:pStyle w:val="Corpsdetexte"/>
        <w:jc w:val="both"/>
      </w:pPr>
      <w:r w:rsidRPr="0089725F">
        <w:t>En utilisant le cadre théorique de Chevallard (1992, 1999), notamment les not</w:t>
      </w:r>
      <w:r>
        <w:t>ions de rapports personnels/insti</w:t>
      </w:r>
      <w:r w:rsidRPr="0089725F">
        <w:t xml:space="preserve">tutionnels dans différentes institutions, nous avions étudié comment de jeunes enseignants en fin de formation initiale, préparait leurs séquences de classe, (Coppé, 2007). Nous avions montré d’une part la diversité des manières de faire, certains se focalisant sur les </w:t>
      </w:r>
      <w:r w:rsidRPr="0089725F">
        <w:lastRenderedPageBreak/>
        <w:t>organisations mathématiques et d’autres sur les organisations didactiques, d’autre part, la plus ou moins grande prise en compte des élèves</w:t>
      </w:r>
      <w:r>
        <w:t>. En bref, il ressort</w:t>
      </w:r>
      <w:r w:rsidRPr="0089725F">
        <w:t xml:space="preserve"> que </w:t>
      </w:r>
      <w:r>
        <w:t>les professeurs novices ont</w:t>
      </w:r>
      <w:r w:rsidRPr="0089725F">
        <w:t xml:space="preserve"> des difficultés à mobiliser différents types de connaissances et à les articuler. Notamment l'articulation entre connaissances antérieures et c</w:t>
      </w:r>
      <w:r>
        <w:t>onnaissances nouvelles se révèle</w:t>
      </w:r>
      <w:r w:rsidRPr="0089725F">
        <w:t xml:space="preserve"> un problème important puisque les jeunes professeurs ont à acquérir des connaissances nouvelles qui ne sont plus seulement disciplinaires et qui vont constituer des connaissances professionnelles. D'autre part, ils vont devoir adapter leurs connaissances antérieures notamment mathématiques, et les transformer pour être mises au service des apprentissages des élèves. Nous faisons donc l’hypothèse que, en formation des maîtres ou en formation de formateurs, le travail sur les préparations de séquences peut permettre d’enrichir le milieu du professeur ou du formateur par la détermination d’éléments (présents ou absents) relevant de ces di</w:t>
      </w:r>
      <w:r>
        <w:t>fférents types de connaissances mais aussi de prendre en compte l’articulation entre savoirs disciplinaires et didactiques pour enseigner.</w:t>
      </w:r>
    </w:p>
    <w:p w14:paraId="15394E9D" w14:textId="77777777" w:rsidR="00E503C1" w:rsidRPr="0089725F" w:rsidRDefault="00E503C1" w:rsidP="00F84127">
      <w:pPr>
        <w:pStyle w:val="Corpsdetexte"/>
        <w:jc w:val="both"/>
      </w:pPr>
    </w:p>
    <w:p w14:paraId="52898F9C" w14:textId="77777777" w:rsidR="00E503C1" w:rsidRPr="0089725F" w:rsidRDefault="00E503C1" w:rsidP="00F84127">
      <w:pPr>
        <w:widowControl w:val="0"/>
        <w:autoSpaceDE w:val="0"/>
        <w:autoSpaceDN w:val="0"/>
        <w:adjustRightInd w:val="0"/>
        <w:jc w:val="both"/>
        <w:rPr>
          <w:rFonts w:ascii="Times New Roman" w:hAnsi="Times New Roman" w:cs="Times New Roman"/>
        </w:rPr>
      </w:pPr>
      <w:r w:rsidRPr="0089725F">
        <w:rPr>
          <w:rFonts w:ascii="Times New Roman" w:eastAsia="Times New Roman" w:hAnsi="Times New Roman" w:cs="Times New Roman"/>
        </w:rPr>
        <w:t xml:space="preserve">Ball, D.L., Thames, M.H., &amp; Phelps, G. (2008). Content knowledge for teaching : What makes it special? </w:t>
      </w:r>
      <w:r w:rsidRPr="0089725F">
        <w:rPr>
          <w:rStyle w:val="Accentuation"/>
          <w:rFonts w:ascii="Times New Roman" w:eastAsia="Times New Roman" w:hAnsi="Times New Roman" w:cs="Times New Roman"/>
        </w:rPr>
        <w:t>Journal of Teacher Education, 59</w:t>
      </w:r>
      <w:r w:rsidRPr="0089725F">
        <w:rPr>
          <w:rFonts w:ascii="Times New Roman" w:eastAsia="Times New Roman" w:hAnsi="Times New Roman" w:cs="Times New Roman"/>
        </w:rPr>
        <w:t>(5).</w:t>
      </w:r>
    </w:p>
    <w:p w14:paraId="025744D1" w14:textId="77777777" w:rsidR="00E503C1" w:rsidRPr="0089725F" w:rsidRDefault="00E503C1" w:rsidP="00F84127">
      <w:pPr>
        <w:widowControl w:val="0"/>
        <w:autoSpaceDE w:val="0"/>
        <w:autoSpaceDN w:val="0"/>
        <w:adjustRightInd w:val="0"/>
        <w:jc w:val="both"/>
        <w:rPr>
          <w:rFonts w:ascii="Times New Roman" w:hAnsi="Times New Roman" w:cs="Times New Roman"/>
        </w:rPr>
      </w:pPr>
      <w:r w:rsidRPr="0089725F">
        <w:rPr>
          <w:rFonts w:ascii="Times New Roman" w:hAnsi="Times New Roman" w:cs="Times New Roman"/>
        </w:rPr>
        <w:t xml:space="preserve">Chevallard, Y. (1992). Concepts fondamentaux de la didactique : perspectives apportées par une approche anthropologique du didactique. </w:t>
      </w:r>
      <w:r w:rsidRPr="0089725F">
        <w:rPr>
          <w:rFonts w:ascii="Times New Roman" w:hAnsi="Times New Roman" w:cs="Times New Roman"/>
          <w:i/>
          <w:iCs/>
        </w:rPr>
        <w:t>Recherche en didactique des mathématiques, Vol. 12 , n°1</w:t>
      </w:r>
      <w:r w:rsidRPr="0089725F">
        <w:rPr>
          <w:rFonts w:ascii="Times New Roman" w:hAnsi="Times New Roman" w:cs="Times New Roman"/>
        </w:rPr>
        <w:t>. Grenoble : La Pensée sauvage.</w:t>
      </w:r>
    </w:p>
    <w:p w14:paraId="68F7C40A" w14:textId="77777777" w:rsidR="00E503C1" w:rsidRPr="0089725F" w:rsidRDefault="00E503C1" w:rsidP="00F84127">
      <w:pPr>
        <w:jc w:val="both"/>
        <w:rPr>
          <w:rFonts w:ascii="Times New Roman" w:hAnsi="Times New Roman" w:cs="Times New Roman"/>
        </w:rPr>
      </w:pPr>
      <w:r w:rsidRPr="0089725F">
        <w:rPr>
          <w:rFonts w:ascii="Times New Roman" w:hAnsi="Times New Roman" w:cs="Times New Roman"/>
        </w:rPr>
        <w:t xml:space="preserve">Chevallard, Y. (1999). L’analyse des pratiques enseignantes en théorie anthropologique du didactique. </w:t>
      </w:r>
      <w:r w:rsidRPr="0089725F">
        <w:rPr>
          <w:rFonts w:ascii="Times New Roman" w:hAnsi="Times New Roman" w:cs="Times New Roman"/>
          <w:i/>
        </w:rPr>
        <w:t>Recherche en didactique des mathématiques, vol 19 n° 2</w:t>
      </w:r>
      <w:r w:rsidRPr="0089725F">
        <w:rPr>
          <w:rFonts w:ascii="Times New Roman" w:hAnsi="Times New Roman" w:cs="Times New Roman"/>
        </w:rPr>
        <w:t>. Grenoble : La Pensée sauvage.</w:t>
      </w:r>
    </w:p>
    <w:p w14:paraId="0428A3BB" w14:textId="77777777" w:rsidR="00E503C1" w:rsidRPr="0089725F" w:rsidRDefault="00E503C1" w:rsidP="00F84127">
      <w:pPr>
        <w:pStyle w:val="Corpsdetexte"/>
        <w:jc w:val="both"/>
      </w:pPr>
      <w:r w:rsidRPr="0089725F">
        <w:t>Coppé, S. (2007). Les connaissances antérieures des professeurs de mathématiques à travers la préparation de séances de classe. Cas de stagiaires en fin de formation initale. In Actes du séminaire national de didactique des mathématiques, G. Gueudet &amp; Y. Matheron Eds, Janvier 2006. Paris : IREM de Paris 7.</w:t>
      </w:r>
    </w:p>
    <w:p w14:paraId="261DFD39" w14:textId="77777777" w:rsidR="00E503C1" w:rsidRPr="0089725F" w:rsidRDefault="00E503C1" w:rsidP="00F84127">
      <w:pPr>
        <w:jc w:val="both"/>
        <w:rPr>
          <w:rFonts w:ascii="Times New Roman" w:hAnsi="Times New Roman" w:cs="Times New Roman"/>
        </w:rPr>
      </w:pPr>
      <w:r w:rsidRPr="0089725F">
        <w:rPr>
          <w:rFonts w:ascii="Times New Roman" w:hAnsi="Times New Roman" w:cs="Times New Roman"/>
        </w:rPr>
        <w:t xml:space="preserve">Robert, A. (2001). Les recherches portant sur les pratiques des enseignants et les contraintes de l’exercice du métier d’enseignant. </w:t>
      </w:r>
      <w:r w:rsidRPr="0089725F">
        <w:rPr>
          <w:rFonts w:ascii="Times New Roman" w:hAnsi="Times New Roman" w:cs="Times New Roman"/>
          <w:i/>
        </w:rPr>
        <w:t>Recherche en didactique des mathématiques, vol 21 n° 1, 2</w:t>
      </w:r>
      <w:r w:rsidRPr="0089725F">
        <w:rPr>
          <w:rFonts w:ascii="Times New Roman" w:hAnsi="Times New Roman" w:cs="Times New Roman"/>
        </w:rPr>
        <w:t>. Grenoble : La Pensée sauvage.</w:t>
      </w:r>
    </w:p>
    <w:p w14:paraId="678847B3" w14:textId="77777777" w:rsidR="00E503C1" w:rsidRPr="0089725F" w:rsidRDefault="00E503C1" w:rsidP="00F84127">
      <w:pPr>
        <w:widowControl w:val="0"/>
        <w:autoSpaceDE w:val="0"/>
        <w:autoSpaceDN w:val="0"/>
        <w:adjustRightInd w:val="0"/>
        <w:jc w:val="both"/>
        <w:rPr>
          <w:rFonts w:ascii="Times New Roman" w:hAnsi="Times New Roman" w:cs="Times New Roman"/>
        </w:rPr>
      </w:pPr>
      <w:r w:rsidRPr="0089725F">
        <w:rPr>
          <w:rFonts w:ascii="Times New Roman" w:hAnsi="Times New Roman" w:cs="Times New Roman"/>
        </w:rPr>
        <w:t>Robert, A. &amp; Rogalski, J. (2002). Le système complexe et cohérent des pratiques des enseignants de mathématiques: Une double approche, Canadian Journal of Science, Mathematics and Technology Education, 2:4.</w:t>
      </w:r>
    </w:p>
    <w:p w14:paraId="72338F9E" w14:textId="77777777" w:rsidR="00E503C1" w:rsidRPr="0089725F" w:rsidRDefault="00E503C1" w:rsidP="00F84127">
      <w:pPr>
        <w:jc w:val="both"/>
        <w:rPr>
          <w:rFonts w:ascii="Times New Roman" w:hAnsi="Times New Roman" w:cs="Times New Roman"/>
        </w:rPr>
      </w:pPr>
      <w:r w:rsidRPr="0089725F">
        <w:rPr>
          <w:rFonts w:ascii="Times New Roman" w:hAnsi="Times New Roman" w:cs="Times New Roman"/>
        </w:rPr>
        <w:t xml:space="preserve">Shulman, L., S. (1987). </w:t>
      </w:r>
      <w:r w:rsidRPr="0089725F">
        <w:rPr>
          <w:rFonts w:ascii="Times New Roman" w:hAnsi="Times New Roman" w:cs="Times New Roman"/>
          <w:i/>
        </w:rPr>
        <w:t>Knowledge and teaching : foundations of the new reform</w:t>
      </w:r>
      <w:r w:rsidRPr="0089725F">
        <w:rPr>
          <w:rFonts w:ascii="Times New Roman" w:hAnsi="Times New Roman" w:cs="Times New Roman"/>
        </w:rPr>
        <w:t xml:space="preserve">. Harvard Educational Review, Vol 57, 1, pp 1-22. </w:t>
      </w:r>
    </w:p>
    <w:p w14:paraId="6F13D91F" w14:textId="704E423A" w:rsidR="00F84127" w:rsidRDefault="00F84127">
      <w:pPr>
        <w:rPr>
          <w:rFonts w:ascii="Arial" w:eastAsia="Times New Roman" w:hAnsi="Arial" w:cs="Arial"/>
          <w:b/>
          <w:lang w:val="fr-FR" w:eastAsia="fr-FR"/>
        </w:rPr>
      </w:pPr>
      <w:r>
        <w:rPr>
          <w:rFonts w:ascii="Arial" w:eastAsia="Times New Roman" w:hAnsi="Arial" w:cs="Arial"/>
          <w:b/>
          <w:lang w:val="fr-FR" w:eastAsia="fr-FR"/>
        </w:rPr>
        <w:br w:type="page"/>
      </w:r>
    </w:p>
    <w:p w14:paraId="644EDC20" w14:textId="364C0707" w:rsidR="00F84127" w:rsidRDefault="00F84127" w:rsidP="00F84127">
      <w:pPr>
        <w:jc w:val="center"/>
        <w:rPr>
          <w:rFonts w:ascii="Arial" w:hAnsi="Arial" w:cs="Arial"/>
          <w:b/>
          <w:sz w:val="24"/>
          <w:szCs w:val="24"/>
        </w:rPr>
      </w:pPr>
      <w:r w:rsidRPr="00963ED4">
        <w:rPr>
          <w:rFonts w:ascii="Arial" w:hAnsi="Arial" w:cs="Arial"/>
          <w:b/>
        </w:rPr>
        <w:lastRenderedPageBreak/>
        <w:t xml:space="preserve">Communication </w:t>
      </w:r>
      <w:r>
        <w:rPr>
          <w:rFonts w:ascii="Arial" w:hAnsi="Arial" w:cs="Arial"/>
          <w:b/>
        </w:rPr>
        <w:t>3</w:t>
      </w:r>
    </w:p>
    <w:p w14:paraId="2754604D" w14:textId="0D6F05AE" w:rsidR="00F84127" w:rsidRPr="00F84127" w:rsidRDefault="00F84127" w:rsidP="00F84127">
      <w:pPr>
        <w:jc w:val="center"/>
        <w:rPr>
          <w:b/>
        </w:rPr>
      </w:pPr>
      <w:r w:rsidRPr="00F84127">
        <w:rPr>
          <w:b/>
        </w:rPr>
        <w:t>Didactique de l'informatique : tension entre milieu disciplinaire et contenus informatiques</w:t>
      </w:r>
    </w:p>
    <w:p w14:paraId="77399BE1" w14:textId="2795FD36" w:rsidR="00F84127" w:rsidRPr="00F84127" w:rsidRDefault="00F84127" w:rsidP="00F84127">
      <w:pPr>
        <w:spacing w:after="0" w:line="240" w:lineRule="auto"/>
        <w:jc w:val="center"/>
        <w:rPr>
          <w:rFonts w:ascii="Arial" w:hAnsi="Arial" w:cs="Arial"/>
          <w:b/>
        </w:rPr>
      </w:pPr>
      <w:r w:rsidRPr="00F84127">
        <w:rPr>
          <w:rFonts w:ascii="Arial" w:hAnsi="Arial" w:cs="Arial"/>
          <w:b/>
        </w:rPr>
        <w:t>Cédric Fluckiger</w:t>
      </w:r>
    </w:p>
    <w:p w14:paraId="6AFF2F0E" w14:textId="59FEEDAB" w:rsidR="00F84127" w:rsidRPr="00F84127" w:rsidRDefault="00F84127" w:rsidP="00F84127">
      <w:pPr>
        <w:spacing w:after="0" w:line="240" w:lineRule="auto"/>
        <w:jc w:val="center"/>
        <w:rPr>
          <w:rFonts w:ascii="Arial" w:hAnsi="Arial" w:cs="Arial"/>
        </w:rPr>
      </w:pPr>
      <w:r w:rsidRPr="00F84127">
        <w:rPr>
          <w:rFonts w:ascii="Arial" w:hAnsi="Arial" w:cs="Arial"/>
        </w:rPr>
        <w:t>Université de Lille 3, Théodile-CIREL</w:t>
      </w:r>
    </w:p>
    <w:p w14:paraId="2051B202" w14:textId="77777777" w:rsidR="00F84127" w:rsidRPr="00F84127" w:rsidRDefault="00F84127" w:rsidP="00F84127">
      <w:pPr>
        <w:jc w:val="both"/>
        <w:rPr>
          <w:rFonts w:ascii="Arial" w:hAnsi="Arial" w:cs="Arial"/>
        </w:rPr>
      </w:pPr>
    </w:p>
    <w:p w14:paraId="5ABD180E" w14:textId="77777777" w:rsidR="00F84127" w:rsidRPr="00F84127" w:rsidRDefault="00F84127" w:rsidP="00F84127">
      <w:pPr>
        <w:jc w:val="both"/>
      </w:pPr>
      <w:r w:rsidRPr="00F84127">
        <w:t>Mots clés : informatique, B2i, milieu, contenus, compétences</w:t>
      </w:r>
    </w:p>
    <w:p w14:paraId="2350C78D" w14:textId="7926BA62" w:rsidR="00F84127" w:rsidRPr="00F84127" w:rsidRDefault="00F84127" w:rsidP="00F84127">
      <w:pPr>
        <w:jc w:val="both"/>
        <w:rPr>
          <w:b/>
        </w:rPr>
      </w:pPr>
      <w:r w:rsidRPr="00F84127">
        <w:rPr>
          <w:b/>
        </w:rPr>
        <w:t>Résumé</w:t>
      </w:r>
      <w:r>
        <w:rPr>
          <w:b/>
        </w:rPr>
        <w:t xml:space="preserve"> court</w:t>
      </w:r>
      <w:r w:rsidRPr="00F84127">
        <w:rPr>
          <w:b/>
        </w:rPr>
        <w:t> :</w:t>
      </w:r>
    </w:p>
    <w:p w14:paraId="6D04265D" w14:textId="77777777" w:rsidR="00F84127" w:rsidRPr="00F84127" w:rsidRDefault="00F84127" w:rsidP="00F84127">
      <w:pPr>
        <w:jc w:val="both"/>
      </w:pPr>
      <w:r w:rsidRPr="00F84127">
        <w:t>Cette communication en didactique de l’informatique permettra d’interroger la notion de milieu dans le cas de l’évaluation des compétences du Brevet Informatique et Internet (B2i). A contrario des contenus disciplinaires, ces compétences sont censées être validées lors de séances consacrées à d’autres apprentissages, imposant aux enseignants de confondre les temps et objectifs d’apprentissage et d’évaluation.</w:t>
      </w:r>
    </w:p>
    <w:p w14:paraId="5340BC30" w14:textId="77777777" w:rsidR="00F84127" w:rsidRPr="00F84127" w:rsidRDefault="00F84127" w:rsidP="00F84127">
      <w:pPr>
        <w:jc w:val="both"/>
      </w:pPr>
      <w:r w:rsidRPr="00F84127">
        <w:t>La communication prendra appui sur un retraitement de deux recherches qualitatives sur les difficultés d’appréhension et d’identification des contenus informatiques, par des questionnaires à des élèves de CM2 d’une part, par entretiens avec des enseignants d’autre part.</w:t>
      </w:r>
    </w:p>
    <w:p w14:paraId="758067C2" w14:textId="77777777" w:rsidR="00F84127" w:rsidRPr="00F84127" w:rsidRDefault="00F84127" w:rsidP="00F84127">
      <w:pPr>
        <w:jc w:val="both"/>
      </w:pPr>
      <w:r w:rsidRPr="00F84127">
        <w:t>Elle montrera d’une part que l’absence d’un milieu disciplinaire spécifiquement construit rend l’identification des contenus délicate par les élèves, d’autre part que les enseignants se retrouvent confrontés à des injonctions contradictoires : il s’agit d’enseigner et évaluer des compétences lors de séances dans lesquelles un milieu est construit pour d’autres apprentissages disciplinaires.</w:t>
      </w:r>
    </w:p>
    <w:p w14:paraId="1D847EB8" w14:textId="77777777" w:rsidR="00F84127" w:rsidRPr="00F84127" w:rsidRDefault="00F84127" w:rsidP="00F84127">
      <w:pPr>
        <w:jc w:val="both"/>
        <w:rPr>
          <w:b/>
        </w:rPr>
      </w:pPr>
      <w:r w:rsidRPr="00F84127">
        <w:rPr>
          <w:b/>
        </w:rPr>
        <w:t>Texte :</w:t>
      </w:r>
    </w:p>
    <w:p w14:paraId="7EFE1455" w14:textId="77777777" w:rsidR="00F84127" w:rsidRDefault="00F84127" w:rsidP="00F84127">
      <w:pPr>
        <w:jc w:val="both"/>
      </w:pPr>
      <w:r>
        <w:t>Didacticien d’une discipline du supérieur (l’informatique), qui n’a d’existence dans le système scolaire français que sous la forme soit d’instruments pour enseigner ou pour apprendre, soit de contenus disséminés, voire censés être « au service » des autres matières scolaires (Programmes d'enseignement de l'école primaire), je compte faire de cette position atypique dans le paysage des didactiques un point d’entrée particulier sur la notion de milieu et la manière dont elle peut exister en formation des enseignants.</w:t>
      </w:r>
    </w:p>
    <w:p w14:paraId="745F099F" w14:textId="77777777" w:rsidR="00F84127" w:rsidRDefault="00F84127" w:rsidP="00F84127">
      <w:pPr>
        <w:jc w:val="both"/>
      </w:pPr>
      <w:r>
        <w:t>Pour cela, mon propos prendra appui sur un retraitement de deux recherches qualitatives sur les difficultés d’appréhension et d’identification des contenus informatiques, par des questionnaires à des élèves de CM2 d’une part, par entretiens avec des enseignants d’autre part.</w:t>
      </w:r>
    </w:p>
    <w:p w14:paraId="7D0105A1" w14:textId="77777777" w:rsidR="00F84127" w:rsidRDefault="00F84127" w:rsidP="00F84127">
      <w:pPr>
        <w:jc w:val="both"/>
      </w:pPr>
      <w:r>
        <w:t>En effet, la forme que prennent majoritairement les contenus informatiques dans l’école française marque fortement la manière dont s’organise la formation des enseignants à ces contenus. Ces contenus sont caractérisés par :</w:t>
      </w:r>
    </w:p>
    <w:p w14:paraId="2B41EED8" w14:textId="77777777" w:rsidR="00F84127" w:rsidRDefault="00F84127" w:rsidP="00F84127">
      <w:pPr>
        <w:jc w:val="both"/>
      </w:pPr>
      <w:r>
        <w:t xml:space="preserve">- la forme de leur définition dans l’institution scolaire (qui définit l’évaluation des compétences à avoir acquises et non leur enseignement) ; </w:t>
      </w:r>
    </w:p>
    <w:p w14:paraId="1B74A9F7" w14:textId="77777777" w:rsidR="00F84127" w:rsidRDefault="00F84127" w:rsidP="00F84127">
      <w:pPr>
        <w:jc w:val="both"/>
      </w:pPr>
      <w:r>
        <w:t xml:space="preserve">- le caractère ancillaire de ces contenus ; </w:t>
      </w:r>
    </w:p>
    <w:p w14:paraId="65A925DF" w14:textId="77777777" w:rsidR="00F84127" w:rsidRDefault="00F84127" w:rsidP="00F84127">
      <w:pPr>
        <w:jc w:val="both"/>
      </w:pPr>
      <w:r>
        <w:lastRenderedPageBreak/>
        <w:t>- enfin par le fait qu’ils sont fortement reliés à des finalités extrascolaires (en référence au « futur citoyen ») plus qu’à des finalités disciplinaires ou scolaires (Fluckiger, 2011).</w:t>
      </w:r>
    </w:p>
    <w:p w14:paraId="251EBE3F" w14:textId="77777777" w:rsidR="00F84127" w:rsidRDefault="00F84127" w:rsidP="00F84127">
      <w:pPr>
        <w:jc w:val="both"/>
      </w:pPr>
      <w:r>
        <w:t>Dans la formation des enseignants aux contenus numériques, ces traits se retrouvent : c’est un certificat de compétences (le C2i2e) qui définit ce que doivent savoir les futurs enseignants, ces compétences concernant essentiellement la maitrise d’instruments numériques pour enseigner.</w:t>
      </w:r>
    </w:p>
    <w:p w14:paraId="27752F62" w14:textId="77777777" w:rsidR="00F84127" w:rsidRDefault="00F84127" w:rsidP="00F84127">
      <w:pPr>
        <w:jc w:val="both"/>
      </w:pPr>
      <w:r>
        <w:t xml:space="preserve">Des questionnaires adressés à des élèves de CM2 faisaient apparaitre que si les élèves apprécient majoritairement ces contenus, moins pour leur côté supposé « ludique » que parce qu’on « apprend », que « c’est utile » et que « ça aide » (a contrario des discours de sens commun sur les digital natives), l’identification de ses contenus repose principalement sur l’utilisation de l’ordinateur. Or d’une part l’informatique, à la fois science, technologie et ensemble d’usages, ne se limite pas à l’ordinateur, d’autre part, cette identification par l’objet rend délicat, pour les élèves, d’identifier la matière ou les objectifs pédagogiques dès lors que l’ordinateur est utilisé comme </w:t>
      </w:r>
      <w:r>
        <w:rPr>
          <w:i/>
        </w:rPr>
        <w:t>moyen</w:t>
      </w:r>
      <w:r>
        <w:t xml:space="preserve"> dans le cadre d’autres matières à l’école.</w:t>
      </w:r>
    </w:p>
    <w:p w14:paraId="55A79ACB" w14:textId="77777777" w:rsidR="00F84127" w:rsidRDefault="00F84127" w:rsidP="00F84127">
      <w:pPr>
        <w:jc w:val="both"/>
      </w:pPr>
      <w:r>
        <w:t>En d’autres termes, l’ordinateur est pour les élèves un signe fort de la constitution d’un milieu didactique, mais quel milieu, pour l’apprentissage de quels contenus, informatiques ou disciplinaires ?</w:t>
      </w:r>
    </w:p>
    <w:p w14:paraId="19EA2F92" w14:textId="77777777" w:rsidR="00F84127" w:rsidRDefault="00F84127" w:rsidP="00F84127">
      <w:pPr>
        <w:jc w:val="both"/>
      </w:pPr>
      <w:r>
        <w:t>Ces difficultés trouvent leur pendant chez les enseignants, qui doivent se « débrouiller » avec des textes officiels demandant d’évaluer des compétences comme « je sais modifier un texte, une image ou un son » sans préciser davantage quel milieu construire pour enseigner cela, si la compétence visée doit être procédurale ou déclarative ni le niveau de compétence à atteindre ou l’organisation curriculaire des enseignements à prévoir pour valider ces compétences « tout au long des cycles » de l’école primaire. Plus généralement, les compétences doivent être validées lors de séances consacrées à d’autres apprentissages, imposant aux enseignants de confondre les temps et objectifs d’apprentissage et d’évaluation. Les enseignants doivent donc valider des compétences complexes dans un milieu didactique construit à d’autres fins.</w:t>
      </w:r>
    </w:p>
    <w:p w14:paraId="5DC942A0" w14:textId="77777777" w:rsidR="00F84127" w:rsidRDefault="00F84127" w:rsidP="00F84127">
      <w:pPr>
        <w:ind w:left="284" w:hanging="284"/>
        <w:jc w:val="both"/>
      </w:pPr>
    </w:p>
    <w:p w14:paraId="482FB500" w14:textId="77777777" w:rsidR="00F84127" w:rsidRDefault="00F84127" w:rsidP="00F84127">
      <w:pPr>
        <w:ind w:left="284" w:hanging="284"/>
        <w:jc w:val="both"/>
      </w:pPr>
      <w:r>
        <w:t xml:space="preserve">FLUCKIGER C. (2011), « La didactique de l'informatique et les constructions sociales de la figure des jeunes utilisateurs », </w:t>
      </w:r>
      <w:r>
        <w:rPr>
          <w:i/>
        </w:rPr>
        <w:t>Recherches en Didactiques</w:t>
      </w:r>
      <w:r>
        <w:t>, n°11, pp.67-84.</w:t>
      </w:r>
    </w:p>
    <w:p w14:paraId="693FAD58" w14:textId="77777777" w:rsidR="00F84127" w:rsidRDefault="00F84127" w:rsidP="00F84127">
      <w:pPr>
        <w:jc w:val="both"/>
      </w:pPr>
    </w:p>
    <w:p w14:paraId="054FAFB3" w14:textId="77777777" w:rsidR="00E503C1" w:rsidRDefault="00E503C1" w:rsidP="00F84127">
      <w:pPr>
        <w:jc w:val="both"/>
        <w:rPr>
          <w:rFonts w:ascii="Arial" w:eastAsia="Times New Roman" w:hAnsi="Arial" w:cs="Arial"/>
          <w:b/>
          <w:lang w:val="fr-FR" w:eastAsia="fr-FR"/>
        </w:rPr>
      </w:pPr>
    </w:p>
    <w:p w14:paraId="18EEDBFF" w14:textId="77777777" w:rsidR="00E503C1" w:rsidRDefault="00E503C1">
      <w:pPr>
        <w:rPr>
          <w:rFonts w:ascii="Arial" w:eastAsia="Times New Roman" w:hAnsi="Arial" w:cs="Arial"/>
          <w:b/>
          <w:lang w:val="fr-FR" w:eastAsia="fr-FR"/>
        </w:rPr>
      </w:pPr>
      <w:r>
        <w:rPr>
          <w:rFonts w:ascii="Arial" w:hAnsi="Arial" w:cs="Arial"/>
          <w:b/>
        </w:rPr>
        <w:br w:type="page"/>
      </w:r>
    </w:p>
    <w:p w14:paraId="663AC1C3" w14:textId="1FB25EE3" w:rsidR="00381056" w:rsidRPr="00963ED4" w:rsidRDefault="00381056" w:rsidP="00F84127">
      <w:pPr>
        <w:pStyle w:val="Retraitcorpset1relig"/>
        <w:spacing w:after="0"/>
        <w:ind w:left="567" w:hanging="567"/>
        <w:jc w:val="center"/>
        <w:rPr>
          <w:rFonts w:ascii="Arial" w:hAnsi="Arial" w:cs="Arial"/>
          <w:b/>
          <w:sz w:val="22"/>
          <w:szCs w:val="22"/>
        </w:rPr>
      </w:pPr>
      <w:r w:rsidRPr="00963ED4">
        <w:rPr>
          <w:rFonts w:ascii="Arial" w:hAnsi="Arial" w:cs="Arial"/>
          <w:b/>
          <w:sz w:val="22"/>
          <w:szCs w:val="22"/>
        </w:rPr>
        <w:lastRenderedPageBreak/>
        <w:t xml:space="preserve">Communication </w:t>
      </w:r>
      <w:r w:rsidR="00963ED4" w:rsidRPr="00963ED4">
        <w:rPr>
          <w:rFonts w:ascii="Arial" w:hAnsi="Arial" w:cs="Arial"/>
          <w:b/>
          <w:sz w:val="22"/>
          <w:szCs w:val="22"/>
        </w:rPr>
        <w:t>4</w:t>
      </w:r>
    </w:p>
    <w:p w14:paraId="77283DFD" w14:textId="77777777" w:rsidR="00381056" w:rsidRDefault="00381056" w:rsidP="0003639F">
      <w:pPr>
        <w:pStyle w:val="Retraitcorpset1relig"/>
        <w:spacing w:after="0"/>
        <w:ind w:left="567" w:hanging="567"/>
        <w:jc w:val="both"/>
      </w:pPr>
    </w:p>
    <w:p w14:paraId="5964A59B" w14:textId="77777777" w:rsidR="00381056" w:rsidRPr="0021726D" w:rsidRDefault="00381056" w:rsidP="00381056">
      <w:pPr>
        <w:jc w:val="center"/>
        <w:rPr>
          <w:b/>
          <w:sz w:val="24"/>
          <w:szCs w:val="24"/>
        </w:rPr>
      </w:pPr>
      <w:r w:rsidRPr="0021726D">
        <w:rPr>
          <w:b/>
          <w:sz w:val="24"/>
          <w:szCs w:val="24"/>
        </w:rPr>
        <w:t>Des savoirs à et pour enseigner aux connaissances construites par les futurs enseignants d’éducation physique en formation</w:t>
      </w:r>
      <w:r>
        <w:rPr>
          <w:b/>
          <w:sz w:val="24"/>
          <w:szCs w:val="24"/>
        </w:rPr>
        <w:t xml:space="preserve"> initiale</w:t>
      </w:r>
      <w:r w:rsidRPr="0021726D">
        <w:rPr>
          <w:b/>
          <w:sz w:val="24"/>
          <w:szCs w:val="24"/>
        </w:rPr>
        <w:t>. Quelle médiatisation du milieu pour la formation ?</w:t>
      </w:r>
    </w:p>
    <w:p w14:paraId="053203F4" w14:textId="77777777" w:rsidR="00381056" w:rsidRPr="0021726D" w:rsidRDefault="00381056" w:rsidP="00F84127">
      <w:pPr>
        <w:spacing w:after="0" w:line="240" w:lineRule="auto"/>
        <w:jc w:val="center"/>
        <w:rPr>
          <w:b/>
          <w:i/>
          <w:sz w:val="24"/>
          <w:szCs w:val="24"/>
        </w:rPr>
      </w:pPr>
      <w:r w:rsidRPr="0021726D">
        <w:rPr>
          <w:b/>
          <w:i/>
          <w:sz w:val="24"/>
          <w:szCs w:val="24"/>
        </w:rPr>
        <w:t>Benoît Lenzen</w:t>
      </w:r>
    </w:p>
    <w:p w14:paraId="6ACE568B" w14:textId="0FD5C00B" w:rsidR="00381056" w:rsidRPr="00F84127" w:rsidRDefault="00381056" w:rsidP="00F84127">
      <w:pPr>
        <w:spacing w:after="0" w:line="240" w:lineRule="auto"/>
        <w:jc w:val="center"/>
        <w:rPr>
          <w:sz w:val="24"/>
          <w:szCs w:val="24"/>
        </w:rPr>
      </w:pPr>
      <w:r w:rsidRPr="00F84127">
        <w:rPr>
          <w:sz w:val="24"/>
          <w:szCs w:val="24"/>
        </w:rPr>
        <w:t>Université de Genève, FPSE/IUFE</w:t>
      </w:r>
      <w:r w:rsidR="00F84127" w:rsidRPr="00F84127">
        <w:rPr>
          <w:sz w:val="24"/>
          <w:szCs w:val="24"/>
        </w:rPr>
        <w:t xml:space="preserve">, </w:t>
      </w:r>
      <w:r w:rsidR="00F06013">
        <w:rPr>
          <w:sz w:val="24"/>
          <w:szCs w:val="24"/>
        </w:rPr>
        <w:t xml:space="preserve">équipe </w:t>
      </w:r>
      <w:r w:rsidR="00F84127" w:rsidRPr="00F84127">
        <w:rPr>
          <w:rStyle w:val="lev"/>
          <w:rFonts w:ascii="Arial" w:eastAsia="Times New Roman" w:hAnsi="Arial" w:cs="Arial"/>
          <w:b w:val="0"/>
        </w:rPr>
        <w:t>DEEP.Ge</w:t>
      </w:r>
    </w:p>
    <w:p w14:paraId="08DB0776" w14:textId="77777777" w:rsidR="00381056" w:rsidRPr="0021726D" w:rsidRDefault="00381056" w:rsidP="00381056">
      <w:pPr>
        <w:jc w:val="both"/>
        <w:rPr>
          <w:sz w:val="24"/>
          <w:szCs w:val="24"/>
        </w:rPr>
      </w:pPr>
    </w:p>
    <w:p w14:paraId="55BA022C" w14:textId="77777777" w:rsidR="00381056" w:rsidRPr="001C15A4" w:rsidRDefault="00381056" w:rsidP="00381056">
      <w:pPr>
        <w:jc w:val="both"/>
        <w:rPr>
          <w:sz w:val="24"/>
          <w:szCs w:val="24"/>
        </w:rPr>
      </w:pPr>
      <w:r w:rsidRPr="0021726D">
        <w:rPr>
          <w:b/>
          <w:sz w:val="24"/>
          <w:szCs w:val="24"/>
        </w:rPr>
        <w:t>Mots clés </w:t>
      </w:r>
      <w:r w:rsidRPr="001C15A4">
        <w:rPr>
          <w:sz w:val="24"/>
          <w:szCs w:val="24"/>
        </w:rPr>
        <w:t>: milieu</w:t>
      </w:r>
      <w:r>
        <w:rPr>
          <w:sz w:val="24"/>
          <w:szCs w:val="24"/>
        </w:rPr>
        <w:t xml:space="preserve"> didactique</w:t>
      </w:r>
      <w:r w:rsidRPr="001C15A4">
        <w:rPr>
          <w:sz w:val="24"/>
          <w:szCs w:val="24"/>
        </w:rPr>
        <w:t xml:space="preserve"> ; </w:t>
      </w:r>
      <w:r>
        <w:rPr>
          <w:sz w:val="24"/>
          <w:szCs w:val="24"/>
        </w:rPr>
        <w:t>formation des enseignants ; éducation physique ; savoirs ; connaissances</w:t>
      </w:r>
    </w:p>
    <w:p w14:paraId="5BF236B0" w14:textId="77777777" w:rsidR="00381056" w:rsidRPr="0021726D" w:rsidRDefault="00381056" w:rsidP="00381056">
      <w:pPr>
        <w:jc w:val="both"/>
        <w:rPr>
          <w:b/>
          <w:sz w:val="24"/>
          <w:szCs w:val="24"/>
        </w:rPr>
      </w:pPr>
      <w:r w:rsidRPr="0021726D">
        <w:rPr>
          <w:b/>
          <w:sz w:val="24"/>
          <w:szCs w:val="24"/>
        </w:rPr>
        <w:t>Résumé</w:t>
      </w:r>
    </w:p>
    <w:p w14:paraId="7628DC92" w14:textId="77777777" w:rsidR="00381056" w:rsidRPr="00004DC4" w:rsidRDefault="00381056" w:rsidP="00381056">
      <w:pPr>
        <w:spacing w:line="360" w:lineRule="auto"/>
        <w:jc w:val="both"/>
        <w:rPr>
          <w:sz w:val="24"/>
          <w:szCs w:val="24"/>
        </w:rPr>
      </w:pPr>
      <w:r>
        <w:rPr>
          <w:sz w:val="24"/>
          <w:szCs w:val="24"/>
        </w:rPr>
        <w:t xml:space="preserve">Selon la perspective constructiviste défendue par Brousseau puis Laparra et Margolinas (2010), </w:t>
      </w:r>
      <w:r w:rsidRPr="0021726D">
        <w:rPr>
          <w:sz w:val="24"/>
          <w:szCs w:val="24"/>
        </w:rPr>
        <w:t xml:space="preserve">enseigner implique un double mouvement. Dans un premier mouvement, l’enseignant qui veut transmettre des savoirs à ses élèves conçoit des situations amenant les élèves qui les investissent à construire, par adaptation, des connaissances ; c’est le processus de </w:t>
      </w:r>
      <w:r w:rsidRPr="0021726D">
        <w:rPr>
          <w:i/>
          <w:sz w:val="24"/>
          <w:szCs w:val="24"/>
        </w:rPr>
        <w:t>dévolution</w:t>
      </w:r>
      <w:r w:rsidRPr="0021726D">
        <w:rPr>
          <w:sz w:val="24"/>
          <w:szCs w:val="24"/>
        </w:rPr>
        <w:t>. Dans un mouvement inverse, l’enseignant qualifie ces connaissances implicites et contextualisées comme savoirs, en reconnaissant et en rendant publique leur valeur sociale et culturelle ; c’est le processus d’</w:t>
      </w:r>
      <w:r w:rsidRPr="0021726D">
        <w:rPr>
          <w:i/>
          <w:sz w:val="24"/>
          <w:szCs w:val="24"/>
        </w:rPr>
        <w:t>institutionnalisation</w:t>
      </w:r>
      <w:r>
        <w:rPr>
          <w:sz w:val="24"/>
          <w:szCs w:val="24"/>
        </w:rPr>
        <w:t xml:space="preserve">. </w:t>
      </w:r>
      <w:r w:rsidRPr="0021726D">
        <w:rPr>
          <w:sz w:val="24"/>
          <w:szCs w:val="24"/>
        </w:rPr>
        <w:t xml:space="preserve">Dans cette contribution, nous </w:t>
      </w:r>
      <w:r>
        <w:rPr>
          <w:sz w:val="24"/>
          <w:szCs w:val="24"/>
        </w:rPr>
        <w:t>présentons</w:t>
      </w:r>
      <w:r w:rsidRPr="0021726D">
        <w:rPr>
          <w:sz w:val="24"/>
          <w:szCs w:val="24"/>
        </w:rPr>
        <w:t xml:space="preserve"> </w:t>
      </w:r>
      <w:r>
        <w:rPr>
          <w:sz w:val="24"/>
          <w:szCs w:val="24"/>
        </w:rPr>
        <w:t xml:space="preserve">et analysons </w:t>
      </w:r>
      <w:r w:rsidRPr="0021726D">
        <w:rPr>
          <w:sz w:val="24"/>
          <w:szCs w:val="24"/>
        </w:rPr>
        <w:t>un dispositif en formation initiale d’enseignants d’éducation physique</w:t>
      </w:r>
      <w:r>
        <w:rPr>
          <w:sz w:val="24"/>
          <w:szCs w:val="24"/>
        </w:rPr>
        <w:t xml:space="preserve"> (EP)</w:t>
      </w:r>
      <w:r w:rsidRPr="0021726D">
        <w:rPr>
          <w:sz w:val="24"/>
          <w:szCs w:val="24"/>
        </w:rPr>
        <w:t xml:space="preserve"> qui </w:t>
      </w:r>
      <w:r>
        <w:rPr>
          <w:sz w:val="24"/>
          <w:szCs w:val="24"/>
        </w:rPr>
        <w:t>s’inscrit dans cette perspective théorique et adopte ce double mouvement, puis nous en étudions les effets. L’analyse permet de repérer plusieurs types de savoirs en jeu dans cet enseignement, et un processus de dévolution qui s’appuie sur des travaux de groupe à distance. Les connaissances initialement investies par les étudiant-e-s dans ces travaux évoluent sensiblement au cours de l’enseignement, jusqu’à leur institutionnalisation par le formateur en fin de semestre. Toutefois, cette évolution positive ne garantit pas que les étudiant-e-s investiront ces connaissances plus valides lorsqu’ils seront amenés à enseigner réellement l’EP.</w:t>
      </w:r>
    </w:p>
    <w:p w14:paraId="18A2B6B1" w14:textId="77777777" w:rsidR="00381056" w:rsidRPr="0021726D" w:rsidRDefault="00381056" w:rsidP="00381056">
      <w:pPr>
        <w:jc w:val="both"/>
        <w:rPr>
          <w:b/>
          <w:sz w:val="24"/>
          <w:szCs w:val="24"/>
        </w:rPr>
      </w:pPr>
      <w:r w:rsidRPr="0021726D">
        <w:rPr>
          <w:b/>
          <w:sz w:val="24"/>
          <w:szCs w:val="24"/>
        </w:rPr>
        <w:t>Texte</w:t>
      </w:r>
    </w:p>
    <w:p w14:paraId="35475C46" w14:textId="77777777" w:rsidR="00381056" w:rsidRPr="0021726D" w:rsidRDefault="00381056" w:rsidP="00381056">
      <w:pPr>
        <w:spacing w:line="360" w:lineRule="auto"/>
        <w:jc w:val="both"/>
        <w:rPr>
          <w:sz w:val="24"/>
          <w:szCs w:val="24"/>
        </w:rPr>
      </w:pPr>
      <w:r w:rsidRPr="0021726D">
        <w:rPr>
          <w:sz w:val="24"/>
          <w:szCs w:val="24"/>
        </w:rPr>
        <w:t xml:space="preserve">Prolongeant les travaux de Brousseau sur la médiation de la transmission du savoir entre l’enseignant et les élèves par le </w:t>
      </w:r>
      <w:r w:rsidRPr="0021726D">
        <w:rPr>
          <w:i/>
          <w:sz w:val="24"/>
          <w:szCs w:val="24"/>
        </w:rPr>
        <w:t>milieu didactique</w:t>
      </w:r>
      <w:r>
        <w:rPr>
          <w:sz w:val="24"/>
          <w:szCs w:val="24"/>
        </w:rPr>
        <w:t xml:space="preserve">, </w:t>
      </w:r>
      <w:r w:rsidRPr="0021726D">
        <w:rPr>
          <w:sz w:val="24"/>
          <w:szCs w:val="24"/>
        </w:rPr>
        <w:t xml:space="preserve">Laparra </w:t>
      </w:r>
      <w:r>
        <w:rPr>
          <w:sz w:val="24"/>
          <w:szCs w:val="24"/>
        </w:rPr>
        <w:t>et Margolinas</w:t>
      </w:r>
      <w:r w:rsidRPr="0021726D">
        <w:rPr>
          <w:sz w:val="24"/>
          <w:szCs w:val="24"/>
        </w:rPr>
        <w:t xml:space="preserve"> </w:t>
      </w:r>
      <w:r>
        <w:rPr>
          <w:sz w:val="24"/>
          <w:szCs w:val="24"/>
        </w:rPr>
        <w:t>(</w:t>
      </w:r>
      <w:r w:rsidRPr="0021726D">
        <w:rPr>
          <w:sz w:val="24"/>
          <w:szCs w:val="24"/>
        </w:rPr>
        <w:t>2010</w:t>
      </w:r>
      <w:r>
        <w:rPr>
          <w:sz w:val="24"/>
          <w:szCs w:val="24"/>
        </w:rPr>
        <w:t>)</w:t>
      </w:r>
      <w:r w:rsidRPr="0021726D">
        <w:rPr>
          <w:sz w:val="24"/>
          <w:szCs w:val="24"/>
        </w:rPr>
        <w:t xml:space="preserve"> développe</w:t>
      </w:r>
      <w:r>
        <w:rPr>
          <w:sz w:val="24"/>
          <w:szCs w:val="24"/>
        </w:rPr>
        <w:t>nt</w:t>
      </w:r>
      <w:r w:rsidRPr="0021726D">
        <w:rPr>
          <w:sz w:val="24"/>
          <w:szCs w:val="24"/>
        </w:rPr>
        <w:t xml:space="preserve"> la distinction entre </w:t>
      </w:r>
      <w:r w:rsidRPr="0021726D">
        <w:rPr>
          <w:i/>
          <w:sz w:val="24"/>
          <w:szCs w:val="24"/>
        </w:rPr>
        <w:t>connaissance</w:t>
      </w:r>
      <w:r w:rsidRPr="0021726D">
        <w:rPr>
          <w:sz w:val="24"/>
          <w:szCs w:val="24"/>
        </w:rPr>
        <w:t xml:space="preserve"> et </w:t>
      </w:r>
      <w:r w:rsidRPr="0021726D">
        <w:rPr>
          <w:i/>
          <w:sz w:val="24"/>
          <w:szCs w:val="24"/>
        </w:rPr>
        <w:t>savoir</w:t>
      </w:r>
      <w:r w:rsidRPr="0021726D">
        <w:rPr>
          <w:sz w:val="24"/>
          <w:szCs w:val="24"/>
        </w:rPr>
        <w:t> : « </w:t>
      </w:r>
      <w:r w:rsidRPr="0021726D">
        <w:rPr>
          <w:i/>
          <w:sz w:val="24"/>
          <w:szCs w:val="24"/>
        </w:rPr>
        <w:t>Une connaissance est ce qui réalise l’équilibre entre le sujet et le milieu, ce que le sujet met en jeu quand il investit une situation.</w:t>
      </w:r>
      <w:r w:rsidRPr="0021726D">
        <w:rPr>
          <w:sz w:val="24"/>
          <w:szCs w:val="24"/>
        </w:rPr>
        <w:t xml:space="preserve"> […]. </w:t>
      </w:r>
      <w:r w:rsidRPr="0021726D">
        <w:rPr>
          <w:i/>
          <w:sz w:val="24"/>
          <w:szCs w:val="24"/>
        </w:rPr>
        <w:t xml:space="preserve">Un </w:t>
      </w:r>
      <w:r w:rsidRPr="0021726D">
        <w:rPr>
          <w:i/>
          <w:sz w:val="24"/>
          <w:szCs w:val="24"/>
        </w:rPr>
        <w:lastRenderedPageBreak/>
        <w:t>savoir est d’une autre nature, il s’agit d’une construction sociale et culturelle, qui vit dans une institution</w:t>
      </w:r>
      <w:r w:rsidRPr="0021726D">
        <w:rPr>
          <w:sz w:val="24"/>
          <w:szCs w:val="24"/>
        </w:rPr>
        <w:t xml:space="preserve"> » (pp. 145-146). Dans cette perspective, enseigner implique un double mouvement. Dans un premier mouvement, l’enseignant qui veut transmettre des savoirs à ses élèves conçoit des situations amenant les élèves qui les investissent à construire, par adaptation, des connaissances ; c’est le processus de </w:t>
      </w:r>
      <w:r w:rsidRPr="0021726D">
        <w:rPr>
          <w:i/>
          <w:sz w:val="24"/>
          <w:szCs w:val="24"/>
        </w:rPr>
        <w:t>dévolution</w:t>
      </w:r>
      <w:r w:rsidRPr="0021726D">
        <w:rPr>
          <w:sz w:val="24"/>
          <w:szCs w:val="24"/>
        </w:rPr>
        <w:t>. Dans un mouvement inverse, l’enseignant qualifie ces connaissances implicites et contextualisées comme savoirs, en reconnaissant et en rendant publique leur valeur sociale et culturelle ; c’est le processus d’</w:t>
      </w:r>
      <w:r w:rsidRPr="0021726D">
        <w:rPr>
          <w:i/>
          <w:sz w:val="24"/>
          <w:szCs w:val="24"/>
        </w:rPr>
        <w:t>institutionnalisation</w:t>
      </w:r>
      <w:r w:rsidRPr="0021726D">
        <w:rPr>
          <w:sz w:val="24"/>
          <w:szCs w:val="24"/>
        </w:rPr>
        <w:t xml:space="preserve"> (Laparra &amp; Mar</w:t>
      </w:r>
      <w:r>
        <w:rPr>
          <w:sz w:val="24"/>
          <w:szCs w:val="24"/>
        </w:rPr>
        <w:t>golinas, 2010</w:t>
      </w:r>
      <w:r w:rsidRPr="0021726D">
        <w:rPr>
          <w:sz w:val="24"/>
          <w:szCs w:val="24"/>
        </w:rPr>
        <w:t xml:space="preserve">). </w:t>
      </w:r>
    </w:p>
    <w:p w14:paraId="0DABB735" w14:textId="77777777" w:rsidR="00381056" w:rsidRPr="0021726D" w:rsidRDefault="00381056" w:rsidP="00381056">
      <w:pPr>
        <w:spacing w:line="360" w:lineRule="auto"/>
        <w:jc w:val="both"/>
        <w:rPr>
          <w:sz w:val="24"/>
          <w:szCs w:val="24"/>
        </w:rPr>
      </w:pPr>
      <w:r w:rsidRPr="0021726D">
        <w:rPr>
          <w:sz w:val="24"/>
          <w:szCs w:val="24"/>
        </w:rPr>
        <w:t xml:space="preserve">Dans cette contribution, nous </w:t>
      </w:r>
      <w:r>
        <w:rPr>
          <w:sz w:val="24"/>
          <w:szCs w:val="24"/>
        </w:rPr>
        <w:t>présentons</w:t>
      </w:r>
      <w:r w:rsidRPr="0021726D">
        <w:rPr>
          <w:sz w:val="24"/>
          <w:szCs w:val="24"/>
        </w:rPr>
        <w:t xml:space="preserve"> </w:t>
      </w:r>
      <w:r>
        <w:rPr>
          <w:sz w:val="24"/>
          <w:szCs w:val="24"/>
        </w:rPr>
        <w:t xml:space="preserve">et analysons </w:t>
      </w:r>
      <w:r w:rsidRPr="0021726D">
        <w:rPr>
          <w:sz w:val="24"/>
          <w:szCs w:val="24"/>
        </w:rPr>
        <w:t>un dispositif en formation initiale d’enseignants d’éducation physique</w:t>
      </w:r>
      <w:r>
        <w:rPr>
          <w:sz w:val="24"/>
          <w:szCs w:val="24"/>
        </w:rPr>
        <w:t xml:space="preserve"> (EP)</w:t>
      </w:r>
      <w:r w:rsidRPr="0021726D">
        <w:rPr>
          <w:sz w:val="24"/>
          <w:szCs w:val="24"/>
        </w:rPr>
        <w:t xml:space="preserve"> qui </w:t>
      </w:r>
      <w:r>
        <w:rPr>
          <w:sz w:val="24"/>
          <w:szCs w:val="24"/>
        </w:rPr>
        <w:t>s’inscrit dans cette perspective théorique et adopte ce double mouvement, puis nous en étudions les effets.</w:t>
      </w:r>
      <w:r w:rsidRPr="0021726D">
        <w:rPr>
          <w:sz w:val="24"/>
          <w:szCs w:val="24"/>
        </w:rPr>
        <w:t xml:space="preserve"> </w:t>
      </w:r>
      <w:r>
        <w:rPr>
          <w:sz w:val="24"/>
          <w:szCs w:val="24"/>
        </w:rPr>
        <w:t>L</w:t>
      </w:r>
      <w:r w:rsidRPr="0021726D">
        <w:rPr>
          <w:sz w:val="24"/>
          <w:szCs w:val="24"/>
        </w:rPr>
        <w:t>es questions</w:t>
      </w:r>
      <w:r>
        <w:rPr>
          <w:sz w:val="24"/>
          <w:szCs w:val="24"/>
        </w:rPr>
        <w:t xml:space="preserve"> qui orientent nos analyses sont notamment les</w:t>
      </w:r>
      <w:r w:rsidRPr="0021726D">
        <w:rPr>
          <w:sz w:val="24"/>
          <w:szCs w:val="24"/>
        </w:rPr>
        <w:t xml:space="preserve"> suivantes : Quels sont les savoirs que le formateur vise à transmettre dans ce dispositif ? Comment se caractérise</w:t>
      </w:r>
      <w:r>
        <w:rPr>
          <w:sz w:val="24"/>
          <w:szCs w:val="24"/>
        </w:rPr>
        <w:t>nt</w:t>
      </w:r>
      <w:r w:rsidRPr="0021726D">
        <w:rPr>
          <w:sz w:val="24"/>
          <w:szCs w:val="24"/>
        </w:rPr>
        <w:t xml:space="preserve"> le milieu de formation qu’il élabore</w:t>
      </w:r>
      <w:r>
        <w:rPr>
          <w:sz w:val="24"/>
          <w:szCs w:val="24"/>
        </w:rPr>
        <w:t xml:space="preserve"> et la dévolution qu’il met en œuvre ? </w:t>
      </w:r>
      <w:r w:rsidRPr="0021726D">
        <w:rPr>
          <w:sz w:val="24"/>
          <w:szCs w:val="24"/>
        </w:rPr>
        <w:t xml:space="preserve">Comment évoluent les connaissances construites par les formés ? </w:t>
      </w:r>
      <w:r>
        <w:rPr>
          <w:sz w:val="24"/>
          <w:szCs w:val="24"/>
        </w:rPr>
        <w:t>Comment le formateur institutionnalise-t-il ces connaissances ?</w:t>
      </w:r>
    </w:p>
    <w:p w14:paraId="0FA03490" w14:textId="77777777" w:rsidR="00381056" w:rsidRDefault="00381056" w:rsidP="00381056">
      <w:pPr>
        <w:spacing w:line="360" w:lineRule="auto"/>
        <w:jc w:val="both"/>
        <w:rPr>
          <w:sz w:val="24"/>
          <w:szCs w:val="24"/>
        </w:rPr>
      </w:pPr>
    </w:p>
    <w:p w14:paraId="100D36A8" w14:textId="77777777" w:rsidR="00381056" w:rsidRPr="0021726D" w:rsidRDefault="00381056" w:rsidP="00381056">
      <w:pPr>
        <w:spacing w:line="360" w:lineRule="auto"/>
        <w:jc w:val="both"/>
        <w:rPr>
          <w:sz w:val="24"/>
          <w:szCs w:val="24"/>
        </w:rPr>
      </w:pPr>
      <w:r>
        <w:rPr>
          <w:sz w:val="24"/>
          <w:szCs w:val="24"/>
        </w:rPr>
        <w:t xml:space="preserve">Le dispositif étudié figurait au plan d’études de la première année d’un bachelor en sciences du mouvement et du sport d’une université suisse. Cet enseignement était dispensé à 32 étudiant-e-s sous la forme de séances en présentiel et de travaux de groupe à distance via la plateforme d’apprentissage en ligne Moodle. </w:t>
      </w:r>
    </w:p>
    <w:p w14:paraId="65F6834D" w14:textId="77777777" w:rsidR="00381056" w:rsidRDefault="00381056" w:rsidP="00381056">
      <w:pPr>
        <w:spacing w:line="360" w:lineRule="auto"/>
        <w:jc w:val="both"/>
        <w:rPr>
          <w:sz w:val="24"/>
          <w:szCs w:val="24"/>
        </w:rPr>
      </w:pPr>
      <w:r>
        <w:rPr>
          <w:sz w:val="24"/>
          <w:szCs w:val="24"/>
        </w:rPr>
        <w:t xml:space="preserve">L’analyse permet de dégager plusieurs types de savoirs savants et experts (Johsua, 1996) en jeu dans cet enseignement, relatifs entre autres à l’approche par compétences, à la structuration d’un cycle d’enseignement et d’une leçon d’EP. La dévolution s’appuie sur les travaux de groupe à distance, des rétroactions étant fournies par le formateur et les pairs. Les connaissances initialement investies par les étudiant-e-s dans la réalisation de ces travaux relèvent d’une approche techniciste de l’enseignement de l’EP. Elles évoluent sensiblement au cours de l’enseignement, jusqu’à leur institutionnalisation sous la forme d’une synthèse proposée en présentiel par le formateur en fin de semestre. Toutefois, cette évolution positive ne garantit pas que les étudiant-e-s investiront ces connaissances plus valides lorsqu’ils seront concrètement amenés à concevoir et mettre en œuvre des cycles </w:t>
      </w:r>
      <w:r>
        <w:rPr>
          <w:sz w:val="24"/>
          <w:szCs w:val="24"/>
        </w:rPr>
        <w:lastRenderedPageBreak/>
        <w:t>d’enseignement et leçons d’EP dans le contexte réel et contraignant de la pratique enseignante.</w:t>
      </w:r>
    </w:p>
    <w:p w14:paraId="3D180A9F" w14:textId="77777777" w:rsidR="00381056" w:rsidRPr="0021726D" w:rsidRDefault="00381056" w:rsidP="00381056">
      <w:pPr>
        <w:jc w:val="both"/>
        <w:rPr>
          <w:b/>
          <w:i/>
          <w:sz w:val="24"/>
          <w:szCs w:val="24"/>
        </w:rPr>
      </w:pPr>
      <w:r w:rsidRPr="0021726D">
        <w:rPr>
          <w:b/>
          <w:i/>
          <w:sz w:val="24"/>
          <w:szCs w:val="24"/>
        </w:rPr>
        <w:t>Références</w:t>
      </w:r>
    </w:p>
    <w:p w14:paraId="5E5C53F2" w14:textId="77777777" w:rsidR="00381056" w:rsidRDefault="00381056" w:rsidP="00381056">
      <w:pPr>
        <w:spacing w:line="360" w:lineRule="auto"/>
        <w:ind w:left="709" w:hanging="709"/>
        <w:jc w:val="both"/>
        <w:rPr>
          <w:sz w:val="24"/>
          <w:szCs w:val="24"/>
        </w:rPr>
      </w:pPr>
      <w:r>
        <w:rPr>
          <w:sz w:val="24"/>
          <w:szCs w:val="24"/>
        </w:rPr>
        <w:t xml:space="preserve">Johsua, S. (1996). Le concept de transposition didactique n’est-il propre qu’aux mathématiques ? In C. Raiski &amp; M. Caillot (Eds.), </w:t>
      </w:r>
      <w:r>
        <w:rPr>
          <w:i/>
          <w:sz w:val="24"/>
          <w:szCs w:val="24"/>
        </w:rPr>
        <w:t>Au-delà des didactiques, le didactique</w:t>
      </w:r>
      <w:r>
        <w:rPr>
          <w:sz w:val="24"/>
          <w:szCs w:val="24"/>
        </w:rPr>
        <w:t xml:space="preserve"> (pp. 61-73). Bruxelles : De Boeck.</w:t>
      </w:r>
    </w:p>
    <w:p w14:paraId="170D511E" w14:textId="77777777" w:rsidR="00381056" w:rsidRPr="0021726D" w:rsidRDefault="00381056" w:rsidP="00381056">
      <w:pPr>
        <w:spacing w:line="360" w:lineRule="auto"/>
        <w:ind w:left="709" w:hanging="709"/>
        <w:jc w:val="both"/>
        <w:rPr>
          <w:sz w:val="24"/>
          <w:szCs w:val="24"/>
        </w:rPr>
      </w:pPr>
      <w:r w:rsidRPr="0021726D">
        <w:rPr>
          <w:sz w:val="24"/>
          <w:szCs w:val="24"/>
        </w:rPr>
        <w:t xml:space="preserve">Laparra, M. &amp; Margolinas, C. (2010). Milieu, connaissance, savoir. Des concepts pour l’analyse de situations d’enseignement. </w:t>
      </w:r>
      <w:r w:rsidRPr="0021726D">
        <w:rPr>
          <w:i/>
          <w:sz w:val="24"/>
          <w:szCs w:val="24"/>
        </w:rPr>
        <w:t>Pratiques</w:t>
      </w:r>
      <w:r w:rsidRPr="0021726D">
        <w:rPr>
          <w:sz w:val="24"/>
          <w:szCs w:val="24"/>
        </w:rPr>
        <w:t xml:space="preserve">, </w:t>
      </w:r>
      <w:r w:rsidRPr="0021726D">
        <w:rPr>
          <w:i/>
          <w:sz w:val="24"/>
          <w:szCs w:val="24"/>
        </w:rPr>
        <w:t>145-146</w:t>
      </w:r>
      <w:r w:rsidRPr="0021726D">
        <w:rPr>
          <w:sz w:val="24"/>
          <w:szCs w:val="24"/>
        </w:rPr>
        <w:t>, 141-160.</w:t>
      </w:r>
    </w:p>
    <w:p w14:paraId="74EDBC72" w14:textId="77777777" w:rsidR="00381056" w:rsidRPr="0021726D" w:rsidRDefault="00381056" w:rsidP="00381056">
      <w:pPr>
        <w:spacing w:line="360" w:lineRule="auto"/>
        <w:ind w:left="709" w:hanging="709"/>
        <w:jc w:val="both"/>
        <w:rPr>
          <w:sz w:val="24"/>
          <w:szCs w:val="24"/>
        </w:rPr>
      </w:pPr>
    </w:p>
    <w:p w14:paraId="5F63455E" w14:textId="77777777" w:rsidR="00381056" w:rsidRPr="0021726D" w:rsidRDefault="00381056" w:rsidP="00381056">
      <w:pPr>
        <w:jc w:val="both"/>
        <w:rPr>
          <w:sz w:val="24"/>
          <w:szCs w:val="24"/>
        </w:rPr>
      </w:pPr>
    </w:p>
    <w:p w14:paraId="1169CEDB" w14:textId="20720D8C" w:rsidR="00381056" w:rsidRPr="00F06013" w:rsidRDefault="00381056" w:rsidP="00F06013">
      <w:pPr>
        <w:rPr>
          <w:rFonts w:ascii="Times New Roman" w:eastAsia="Times New Roman" w:hAnsi="Times New Roman" w:cs="Times New Roman"/>
          <w:sz w:val="20"/>
          <w:szCs w:val="20"/>
          <w:lang w:val="fr-FR" w:eastAsia="fr-FR"/>
        </w:rPr>
      </w:pPr>
    </w:p>
    <w:sectPr w:rsidR="00381056" w:rsidRPr="00F06013">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D653C" w15:done="0"/>
  <w15:commentEx w15:paraId="4F148AF9" w15:done="0"/>
  <w15:commentEx w15:paraId="06D53C5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73E23" w14:textId="77777777" w:rsidR="00F84127" w:rsidRDefault="00F84127" w:rsidP="00283900">
      <w:pPr>
        <w:spacing w:after="0" w:line="240" w:lineRule="auto"/>
      </w:pPr>
      <w:r>
        <w:separator/>
      </w:r>
    </w:p>
  </w:endnote>
  <w:endnote w:type="continuationSeparator" w:id="0">
    <w:p w14:paraId="6A1F41FD" w14:textId="77777777" w:rsidR="00F84127" w:rsidRDefault="00F84127" w:rsidP="0028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E752" w14:textId="77777777" w:rsidR="00F84127" w:rsidRDefault="00F84127" w:rsidP="000363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0B6516" w14:textId="77777777" w:rsidR="00F84127" w:rsidRDefault="00F84127" w:rsidP="00944E3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0C25E" w14:textId="77777777" w:rsidR="00F84127" w:rsidRDefault="00F84127" w:rsidP="000363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D2C9B">
      <w:rPr>
        <w:rStyle w:val="Numrodepage"/>
        <w:noProof/>
      </w:rPr>
      <w:t>4</w:t>
    </w:r>
    <w:r>
      <w:rPr>
        <w:rStyle w:val="Numrodepage"/>
      </w:rPr>
      <w:fldChar w:fldCharType="end"/>
    </w:r>
  </w:p>
  <w:p w14:paraId="33FF7B0F" w14:textId="77777777" w:rsidR="00F84127" w:rsidRDefault="00F84127" w:rsidP="00944E3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A9F73" w14:textId="77777777" w:rsidR="00F84127" w:rsidRDefault="00F84127" w:rsidP="00283900">
      <w:pPr>
        <w:spacing w:after="0" w:line="240" w:lineRule="auto"/>
      </w:pPr>
      <w:r>
        <w:separator/>
      </w:r>
    </w:p>
  </w:footnote>
  <w:footnote w:type="continuationSeparator" w:id="0">
    <w:p w14:paraId="16FB10F0" w14:textId="77777777" w:rsidR="00F84127" w:rsidRDefault="00F84127" w:rsidP="002839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6769"/>
    <w:multiLevelType w:val="hybridMultilevel"/>
    <w:tmpl w:val="5B80BA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2002CC"/>
    <w:multiLevelType w:val="hybridMultilevel"/>
    <w:tmpl w:val="AA7C0C0C"/>
    <w:lvl w:ilvl="0" w:tplc="5B4E42F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2766E76"/>
    <w:multiLevelType w:val="hybridMultilevel"/>
    <w:tmpl w:val="4D5C133A"/>
    <w:lvl w:ilvl="0" w:tplc="F4060E1A">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5590078"/>
    <w:multiLevelType w:val="hybridMultilevel"/>
    <w:tmpl w:val="00062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BC2AEE"/>
    <w:multiLevelType w:val="hybridMultilevel"/>
    <w:tmpl w:val="1564F8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sai2">
    <w15:presenceInfo w15:providerId="None" w15:userId="essa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F0"/>
    <w:rsid w:val="0003639F"/>
    <w:rsid w:val="00042AA2"/>
    <w:rsid w:val="00083588"/>
    <w:rsid w:val="00094ECC"/>
    <w:rsid w:val="000B0A5E"/>
    <w:rsid w:val="001326D2"/>
    <w:rsid w:val="00145CD0"/>
    <w:rsid w:val="001D1FA9"/>
    <w:rsid w:val="00283900"/>
    <w:rsid w:val="00284E00"/>
    <w:rsid w:val="003223F9"/>
    <w:rsid w:val="00381056"/>
    <w:rsid w:val="00391F02"/>
    <w:rsid w:val="003970D4"/>
    <w:rsid w:val="003A7605"/>
    <w:rsid w:val="003F7219"/>
    <w:rsid w:val="003F76CA"/>
    <w:rsid w:val="004B0203"/>
    <w:rsid w:val="00527CD5"/>
    <w:rsid w:val="005533B3"/>
    <w:rsid w:val="00580A1B"/>
    <w:rsid w:val="006C389F"/>
    <w:rsid w:val="006F22CF"/>
    <w:rsid w:val="00722FE7"/>
    <w:rsid w:val="007307F0"/>
    <w:rsid w:val="007C626D"/>
    <w:rsid w:val="008A22C5"/>
    <w:rsid w:val="0091492E"/>
    <w:rsid w:val="00944E3B"/>
    <w:rsid w:val="00963ED4"/>
    <w:rsid w:val="009A0FED"/>
    <w:rsid w:val="009C35EC"/>
    <w:rsid w:val="00A0709D"/>
    <w:rsid w:val="00A47264"/>
    <w:rsid w:val="00A86426"/>
    <w:rsid w:val="00A90641"/>
    <w:rsid w:val="00AF5C15"/>
    <w:rsid w:val="00C05D1E"/>
    <w:rsid w:val="00C3345F"/>
    <w:rsid w:val="00C85B28"/>
    <w:rsid w:val="00CF3F80"/>
    <w:rsid w:val="00DA65D6"/>
    <w:rsid w:val="00DB5DFD"/>
    <w:rsid w:val="00DB6241"/>
    <w:rsid w:val="00DE2941"/>
    <w:rsid w:val="00DF410A"/>
    <w:rsid w:val="00E503C1"/>
    <w:rsid w:val="00E912A6"/>
    <w:rsid w:val="00EA5834"/>
    <w:rsid w:val="00F06013"/>
    <w:rsid w:val="00F204FE"/>
    <w:rsid w:val="00F37330"/>
    <w:rsid w:val="00F84127"/>
    <w:rsid w:val="00F96A9B"/>
    <w:rsid w:val="00FD2C9B"/>
    <w:rsid w:val="00FE4DCA"/>
    <w:rsid w:val="00FF634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4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84E00"/>
    <w:pPr>
      <w:spacing w:before="100" w:beforeAutospacing="1" w:after="100" w:afterAutospacing="1" w:line="240" w:lineRule="auto"/>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3900"/>
    <w:pPr>
      <w:tabs>
        <w:tab w:val="center" w:pos="4536"/>
        <w:tab w:val="right" w:pos="9072"/>
      </w:tabs>
      <w:spacing w:after="0" w:line="240" w:lineRule="auto"/>
    </w:pPr>
  </w:style>
  <w:style w:type="character" w:customStyle="1" w:styleId="En-tteCar">
    <w:name w:val="En-tête Car"/>
    <w:basedOn w:val="Policepardfaut"/>
    <w:link w:val="En-tte"/>
    <w:uiPriority w:val="99"/>
    <w:rsid w:val="00283900"/>
  </w:style>
  <w:style w:type="paragraph" w:styleId="Pieddepage">
    <w:name w:val="footer"/>
    <w:basedOn w:val="Normal"/>
    <w:link w:val="PieddepageCar"/>
    <w:uiPriority w:val="99"/>
    <w:unhideWhenUsed/>
    <w:rsid w:val="00283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900"/>
  </w:style>
  <w:style w:type="paragraph" w:styleId="Textedebulles">
    <w:name w:val="Balloon Text"/>
    <w:basedOn w:val="Normal"/>
    <w:link w:val="TextedebullesCar"/>
    <w:uiPriority w:val="99"/>
    <w:semiHidden/>
    <w:unhideWhenUsed/>
    <w:rsid w:val="002839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900"/>
    <w:rPr>
      <w:rFonts w:ascii="Tahoma" w:hAnsi="Tahoma" w:cs="Tahoma"/>
      <w:sz w:val="16"/>
      <w:szCs w:val="16"/>
    </w:rPr>
  </w:style>
  <w:style w:type="table" w:styleId="Grille">
    <w:name w:val="Table Grid"/>
    <w:basedOn w:val="TableauNormal"/>
    <w:uiPriority w:val="59"/>
    <w:rsid w:val="00283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uiPriority w:val="99"/>
    <w:semiHidden/>
    <w:unhideWhenUsed/>
    <w:rsid w:val="00A86426"/>
    <w:pPr>
      <w:spacing w:after="120"/>
      <w:ind w:left="283"/>
    </w:pPr>
  </w:style>
  <w:style w:type="character" w:customStyle="1" w:styleId="RetraitcorpsdetexteCar">
    <w:name w:val="Retrait corps de texte Car"/>
    <w:basedOn w:val="Policepardfaut"/>
    <w:link w:val="Retraitcorpsdetexte"/>
    <w:uiPriority w:val="99"/>
    <w:semiHidden/>
    <w:rsid w:val="00A86426"/>
  </w:style>
  <w:style w:type="paragraph" w:styleId="Retraitcorpset1relig">
    <w:name w:val="Body Text First Indent 2"/>
    <w:basedOn w:val="Retraitcorpsdetexte"/>
    <w:link w:val="Retraitcorpset1religCar"/>
    <w:rsid w:val="00A86426"/>
    <w:pPr>
      <w:spacing w:line="240" w:lineRule="auto"/>
      <w:ind w:firstLine="210"/>
    </w:pPr>
    <w:rPr>
      <w:rFonts w:ascii="Times New Roman" w:eastAsia="Times New Roman" w:hAnsi="Times New Roman" w:cs="Times New Roman"/>
      <w:sz w:val="20"/>
      <w:szCs w:val="20"/>
      <w:lang w:val="fr-FR" w:eastAsia="fr-FR"/>
    </w:rPr>
  </w:style>
  <w:style w:type="character" w:customStyle="1" w:styleId="Retraitcorpset1religCar">
    <w:name w:val="Retrait corps et 1ère lig. Car"/>
    <w:basedOn w:val="RetraitcorpsdetexteCar"/>
    <w:link w:val="Retraitcorpset1relig"/>
    <w:rsid w:val="00A86426"/>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rsid w:val="00145CD0"/>
    <w:pPr>
      <w:ind w:left="720"/>
      <w:contextualSpacing/>
    </w:pPr>
  </w:style>
  <w:style w:type="character" w:customStyle="1" w:styleId="Titre1Car">
    <w:name w:val="Titre 1 Car"/>
    <w:basedOn w:val="Policepardfaut"/>
    <w:link w:val="Titre1"/>
    <w:uiPriority w:val="9"/>
    <w:rsid w:val="00284E00"/>
    <w:rPr>
      <w:rFonts w:ascii="Times" w:hAnsi="Times"/>
      <w:b/>
      <w:bCs/>
      <w:kern w:val="36"/>
      <w:sz w:val="48"/>
      <w:szCs w:val="48"/>
      <w:lang w:eastAsia="fr-FR"/>
    </w:rPr>
  </w:style>
  <w:style w:type="character" w:customStyle="1" w:styleId="text">
    <w:name w:val="text"/>
    <w:basedOn w:val="Policepardfaut"/>
    <w:rsid w:val="00284E00"/>
  </w:style>
  <w:style w:type="character" w:styleId="Numrodepage">
    <w:name w:val="page number"/>
    <w:basedOn w:val="Policepardfaut"/>
    <w:uiPriority w:val="99"/>
    <w:semiHidden/>
    <w:unhideWhenUsed/>
    <w:rsid w:val="00944E3B"/>
  </w:style>
  <w:style w:type="character" w:styleId="Marquedannotation">
    <w:name w:val="annotation reference"/>
    <w:basedOn w:val="Policepardfaut"/>
    <w:uiPriority w:val="99"/>
    <w:semiHidden/>
    <w:unhideWhenUsed/>
    <w:rsid w:val="00CF3F80"/>
    <w:rPr>
      <w:sz w:val="16"/>
      <w:szCs w:val="16"/>
    </w:rPr>
  </w:style>
  <w:style w:type="paragraph" w:styleId="Commentaire">
    <w:name w:val="annotation text"/>
    <w:basedOn w:val="Normal"/>
    <w:link w:val="CommentaireCar"/>
    <w:uiPriority w:val="99"/>
    <w:semiHidden/>
    <w:unhideWhenUsed/>
    <w:rsid w:val="00CF3F80"/>
    <w:pPr>
      <w:spacing w:line="240" w:lineRule="auto"/>
    </w:pPr>
    <w:rPr>
      <w:sz w:val="20"/>
      <w:szCs w:val="20"/>
    </w:rPr>
  </w:style>
  <w:style w:type="character" w:customStyle="1" w:styleId="CommentaireCar">
    <w:name w:val="Commentaire Car"/>
    <w:basedOn w:val="Policepardfaut"/>
    <w:link w:val="Commentaire"/>
    <w:uiPriority w:val="99"/>
    <w:semiHidden/>
    <w:rsid w:val="00CF3F80"/>
    <w:rPr>
      <w:sz w:val="20"/>
      <w:szCs w:val="20"/>
    </w:rPr>
  </w:style>
  <w:style w:type="paragraph" w:styleId="Objetducommentaire">
    <w:name w:val="annotation subject"/>
    <w:basedOn w:val="Commentaire"/>
    <w:next w:val="Commentaire"/>
    <w:link w:val="ObjetducommentaireCar"/>
    <w:uiPriority w:val="99"/>
    <w:semiHidden/>
    <w:unhideWhenUsed/>
    <w:rsid w:val="00CF3F80"/>
    <w:rPr>
      <w:b/>
      <w:bCs/>
    </w:rPr>
  </w:style>
  <w:style w:type="character" w:customStyle="1" w:styleId="ObjetducommentaireCar">
    <w:name w:val="Objet du commentaire Car"/>
    <w:basedOn w:val="CommentaireCar"/>
    <w:link w:val="Objetducommentaire"/>
    <w:uiPriority w:val="99"/>
    <w:semiHidden/>
    <w:rsid w:val="00CF3F80"/>
    <w:rPr>
      <w:b/>
      <w:bCs/>
      <w:sz w:val="20"/>
      <w:szCs w:val="20"/>
    </w:rPr>
  </w:style>
  <w:style w:type="paragraph" w:styleId="Corpsdetexte">
    <w:name w:val="Body Text"/>
    <w:basedOn w:val="Normal"/>
    <w:link w:val="CorpsdetexteCar"/>
    <w:uiPriority w:val="99"/>
    <w:semiHidden/>
    <w:unhideWhenUsed/>
    <w:rsid w:val="00381056"/>
    <w:pPr>
      <w:spacing w:after="120"/>
    </w:pPr>
  </w:style>
  <w:style w:type="character" w:customStyle="1" w:styleId="CorpsdetexteCar">
    <w:name w:val="Corps de texte Car"/>
    <w:basedOn w:val="Policepardfaut"/>
    <w:link w:val="Corpsdetexte"/>
    <w:uiPriority w:val="99"/>
    <w:semiHidden/>
    <w:rsid w:val="00381056"/>
  </w:style>
  <w:style w:type="character" w:styleId="Accentuation">
    <w:name w:val="Emphasis"/>
    <w:basedOn w:val="Policepardfaut"/>
    <w:uiPriority w:val="20"/>
    <w:qFormat/>
    <w:rsid w:val="00381056"/>
    <w:rPr>
      <w:i/>
      <w:iCs/>
    </w:rPr>
  </w:style>
  <w:style w:type="character" w:styleId="lev">
    <w:name w:val="Strong"/>
    <w:basedOn w:val="Policepardfaut"/>
    <w:uiPriority w:val="22"/>
    <w:qFormat/>
    <w:rsid w:val="00963ED4"/>
    <w:rPr>
      <w:b/>
      <w:bCs/>
    </w:rPr>
  </w:style>
  <w:style w:type="paragraph" w:styleId="Bibliographie">
    <w:name w:val="Bibliography"/>
    <w:basedOn w:val="Normal"/>
    <w:next w:val="Normal"/>
    <w:uiPriority w:val="37"/>
    <w:semiHidden/>
    <w:unhideWhenUsed/>
    <w:rsid w:val="00E503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84E00"/>
    <w:pPr>
      <w:spacing w:before="100" w:beforeAutospacing="1" w:after="100" w:afterAutospacing="1" w:line="240" w:lineRule="auto"/>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3900"/>
    <w:pPr>
      <w:tabs>
        <w:tab w:val="center" w:pos="4536"/>
        <w:tab w:val="right" w:pos="9072"/>
      </w:tabs>
      <w:spacing w:after="0" w:line="240" w:lineRule="auto"/>
    </w:pPr>
  </w:style>
  <w:style w:type="character" w:customStyle="1" w:styleId="En-tteCar">
    <w:name w:val="En-tête Car"/>
    <w:basedOn w:val="Policepardfaut"/>
    <w:link w:val="En-tte"/>
    <w:uiPriority w:val="99"/>
    <w:rsid w:val="00283900"/>
  </w:style>
  <w:style w:type="paragraph" w:styleId="Pieddepage">
    <w:name w:val="footer"/>
    <w:basedOn w:val="Normal"/>
    <w:link w:val="PieddepageCar"/>
    <w:uiPriority w:val="99"/>
    <w:unhideWhenUsed/>
    <w:rsid w:val="00283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900"/>
  </w:style>
  <w:style w:type="paragraph" w:styleId="Textedebulles">
    <w:name w:val="Balloon Text"/>
    <w:basedOn w:val="Normal"/>
    <w:link w:val="TextedebullesCar"/>
    <w:uiPriority w:val="99"/>
    <w:semiHidden/>
    <w:unhideWhenUsed/>
    <w:rsid w:val="002839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900"/>
    <w:rPr>
      <w:rFonts w:ascii="Tahoma" w:hAnsi="Tahoma" w:cs="Tahoma"/>
      <w:sz w:val="16"/>
      <w:szCs w:val="16"/>
    </w:rPr>
  </w:style>
  <w:style w:type="table" w:styleId="Grille">
    <w:name w:val="Table Grid"/>
    <w:basedOn w:val="TableauNormal"/>
    <w:uiPriority w:val="59"/>
    <w:rsid w:val="00283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uiPriority w:val="99"/>
    <w:semiHidden/>
    <w:unhideWhenUsed/>
    <w:rsid w:val="00A86426"/>
    <w:pPr>
      <w:spacing w:after="120"/>
      <w:ind w:left="283"/>
    </w:pPr>
  </w:style>
  <w:style w:type="character" w:customStyle="1" w:styleId="RetraitcorpsdetexteCar">
    <w:name w:val="Retrait corps de texte Car"/>
    <w:basedOn w:val="Policepardfaut"/>
    <w:link w:val="Retraitcorpsdetexte"/>
    <w:uiPriority w:val="99"/>
    <w:semiHidden/>
    <w:rsid w:val="00A86426"/>
  </w:style>
  <w:style w:type="paragraph" w:styleId="Retraitcorpset1relig">
    <w:name w:val="Body Text First Indent 2"/>
    <w:basedOn w:val="Retraitcorpsdetexte"/>
    <w:link w:val="Retraitcorpset1religCar"/>
    <w:rsid w:val="00A86426"/>
    <w:pPr>
      <w:spacing w:line="240" w:lineRule="auto"/>
      <w:ind w:firstLine="210"/>
    </w:pPr>
    <w:rPr>
      <w:rFonts w:ascii="Times New Roman" w:eastAsia="Times New Roman" w:hAnsi="Times New Roman" w:cs="Times New Roman"/>
      <w:sz w:val="20"/>
      <w:szCs w:val="20"/>
      <w:lang w:val="fr-FR" w:eastAsia="fr-FR"/>
    </w:rPr>
  </w:style>
  <w:style w:type="character" w:customStyle="1" w:styleId="Retraitcorpset1religCar">
    <w:name w:val="Retrait corps et 1ère lig. Car"/>
    <w:basedOn w:val="RetraitcorpsdetexteCar"/>
    <w:link w:val="Retraitcorpset1relig"/>
    <w:rsid w:val="00A86426"/>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rsid w:val="00145CD0"/>
    <w:pPr>
      <w:ind w:left="720"/>
      <w:contextualSpacing/>
    </w:pPr>
  </w:style>
  <w:style w:type="character" w:customStyle="1" w:styleId="Titre1Car">
    <w:name w:val="Titre 1 Car"/>
    <w:basedOn w:val="Policepardfaut"/>
    <w:link w:val="Titre1"/>
    <w:uiPriority w:val="9"/>
    <w:rsid w:val="00284E00"/>
    <w:rPr>
      <w:rFonts w:ascii="Times" w:hAnsi="Times"/>
      <w:b/>
      <w:bCs/>
      <w:kern w:val="36"/>
      <w:sz w:val="48"/>
      <w:szCs w:val="48"/>
      <w:lang w:eastAsia="fr-FR"/>
    </w:rPr>
  </w:style>
  <w:style w:type="character" w:customStyle="1" w:styleId="text">
    <w:name w:val="text"/>
    <w:basedOn w:val="Policepardfaut"/>
    <w:rsid w:val="00284E00"/>
  </w:style>
  <w:style w:type="character" w:styleId="Numrodepage">
    <w:name w:val="page number"/>
    <w:basedOn w:val="Policepardfaut"/>
    <w:uiPriority w:val="99"/>
    <w:semiHidden/>
    <w:unhideWhenUsed/>
    <w:rsid w:val="00944E3B"/>
  </w:style>
  <w:style w:type="character" w:styleId="Marquedannotation">
    <w:name w:val="annotation reference"/>
    <w:basedOn w:val="Policepardfaut"/>
    <w:uiPriority w:val="99"/>
    <w:semiHidden/>
    <w:unhideWhenUsed/>
    <w:rsid w:val="00CF3F80"/>
    <w:rPr>
      <w:sz w:val="16"/>
      <w:szCs w:val="16"/>
    </w:rPr>
  </w:style>
  <w:style w:type="paragraph" w:styleId="Commentaire">
    <w:name w:val="annotation text"/>
    <w:basedOn w:val="Normal"/>
    <w:link w:val="CommentaireCar"/>
    <w:uiPriority w:val="99"/>
    <w:semiHidden/>
    <w:unhideWhenUsed/>
    <w:rsid w:val="00CF3F80"/>
    <w:pPr>
      <w:spacing w:line="240" w:lineRule="auto"/>
    </w:pPr>
    <w:rPr>
      <w:sz w:val="20"/>
      <w:szCs w:val="20"/>
    </w:rPr>
  </w:style>
  <w:style w:type="character" w:customStyle="1" w:styleId="CommentaireCar">
    <w:name w:val="Commentaire Car"/>
    <w:basedOn w:val="Policepardfaut"/>
    <w:link w:val="Commentaire"/>
    <w:uiPriority w:val="99"/>
    <w:semiHidden/>
    <w:rsid w:val="00CF3F80"/>
    <w:rPr>
      <w:sz w:val="20"/>
      <w:szCs w:val="20"/>
    </w:rPr>
  </w:style>
  <w:style w:type="paragraph" w:styleId="Objetducommentaire">
    <w:name w:val="annotation subject"/>
    <w:basedOn w:val="Commentaire"/>
    <w:next w:val="Commentaire"/>
    <w:link w:val="ObjetducommentaireCar"/>
    <w:uiPriority w:val="99"/>
    <w:semiHidden/>
    <w:unhideWhenUsed/>
    <w:rsid w:val="00CF3F80"/>
    <w:rPr>
      <w:b/>
      <w:bCs/>
    </w:rPr>
  </w:style>
  <w:style w:type="character" w:customStyle="1" w:styleId="ObjetducommentaireCar">
    <w:name w:val="Objet du commentaire Car"/>
    <w:basedOn w:val="CommentaireCar"/>
    <w:link w:val="Objetducommentaire"/>
    <w:uiPriority w:val="99"/>
    <w:semiHidden/>
    <w:rsid w:val="00CF3F80"/>
    <w:rPr>
      <w:b/>
      <w:bCs/>
      <w:sz w:val="20"/>
      <w:szCs w:val="20"/>
    </w:rPr>
  </w:style>
  <w:style w:type="paragraph" w:styleId="Corpsdetexte">
    <w:name w:val="Body Text"/>
    <w:basedOn w:val="Normal"/>
    <w:link w:val="CorpsdetexteCar"/>
    <w:uiPriority w:val="99"/>
    <w:semiHidden/>
    <w:unhideWhenUsed/>
    <w:rsid w:val="00381056"/>
    <w:pPr>
      <w:spacing w:after="120"/>
    </w:pPr>
  </w:style>
  <w:style w:type="character" w:customStyle="1" w:styleId="CorpsdetexteCar">
    <w:name w:val="Corps de texte Car"/>
    <w:basedOn w:val="Policepardfaut"/>
    <w:link w:val="Corpsdetexte"/>
    <w:uiPriority w:val="99"/>
    <w:semiHidden/>
    <w:rsid w:val="00381056"/>
  </w:style>
  <w:style w:type="character" w:styleId="Accentuation">
    <w:name w:val="Emphasis"/>
    <w:basedOn w:val="Policepardfaut"/>
    <w:uiPriority w:val="20"/>
    <w:qFormat/>
    <w:rsid w:val="00381056"/>
    <w:rPr>
      <w:i/>
      <w:iCs/>
    </w:rPr>
  </w:style>
  <w:style w:type="character" w:styleId="lev">
    <w:name w:val="Strong"/>
    <w:basedOn w:val="Policepardfaut"/>
    <w:uiPriority w:val="22"/>
    <w:qFormat/>
    <w:rsid w:val="00963ED4"/>
    <w:rPr>
      <w:b/>
      <w:bCs/>
    </w:rPr>
  </w:style>
  <w:style w:type="paragraph" w:styleId="Bibliographie">
    <w:name w:val="Bibliography"/>
    <w:basedOn w:val="Normal"/>
    <w:next w:val="Normal"/>
    <w:uiPriority w:val="37"/>
    <w:semiHidden/>
    <w:unhideWhenUsed/>
    <w:rsid w:val="00E5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055">
      <w:bodyDiv w:val="1"/>
      <w:marLeft w:val="0"/>
      <w:marRight w:val="0"/>
      <w:marTop w:val="0"/>
      <w:marBottom w:val="0"/>
      <w:divBdr>
        <w:top w:val="none" w:sz="0" w:space="0" w:color="auto"/>
        <w:left w:val="none" w:sz="0" w:space="0" w:color="auto"/>
        <w:bottom w:val="none" w:sz="0" w:space="0" w:color="auto"/>
        <w:right w:val="none" w:sz="0" w:space="0" w:color="auto"/>
      </w:divBdr>
    </w:div>
    <w:div w:id="16949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6659</Words>
  <Characters>36629</Characters>
  <Application>Microsoft Macintosh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43202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Marty</dc:creator>
  <cp:keywords/>
  <dc:description/>
  <cp:lastModifiedBy>Francia Leutenegger</cp:lastModifiedBy>
  <cp:revision>12</cp:revision>
  <cp:lastPrinted>2014-10-23T06:56:00Z</cp:lastPrinted>
  <dcterms:created xsi:type="dcterms:W3CDTF">2015-09-16T10:15:00Z</dcterms:created>
  <dcterms:modified xsi:type="dcterms:W3CDTF">2015-09-20T08:21:00Z</dcterms:modified>
</cp:coreProperties>
</file>