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94" w:rsidRPr="0021726D" w:rsidRDefault="005F13A0" w:rsidP="00D77369">
      <w:pPr>
        <w:jc w:val="center"/>
        <w:rPr>
          <w:b/>
          <w:sz w:val="24"/>
          <w:szCs w:val="24"/>
        </w:rPr>
      </w:pPr>
      <w:bookmarkStart w:id="0" w:name="_GoBack"/>
      <w:bookmarkEnd w:id="0"/>
      <w:r>
        <w:rPr>
          <w:b/>
          <w:sz w:val="24"/>
          <w:szCs w:val="24"/>
        </w:rPr>
        <w:t>Le rôle médiateur de la verbalisation dans</w:t>
      </w:r>
      <w:r w:rsidR="00641A61">
        <w:rPr>
          <w:b/>
          <w:sz w:val="24"/>
          <w:szCs w:val="24"/>
        </w:rPr>
        <w:t xml:space="preserve"> le double mouvement dévolution/</w:t>
      </w:r>
      <w:r>
        <w:rPr>
          <w:b/>
          <w:sz w:val="24"/>
          <w:szCs w:val="24"/>
        </w:rPr>
        <w:t>institutionnalisation et ses effets sur les apprentissages des élèves en éducation physique. Un</w:t>
      </w:r>
      <w:r w:rsidR="00AF3E2C">
        <w:rPr>
          <w:b/>
          <w:sz w:val="24"/>
          <w:szCs w:val="24"/>
        </w:rPr>
        <w:t>e</w:t>
      </w:r>
      <w:r>
        <w:rPr>
          <w:b/>
          <w:sz w:val="24"/>
          <w:szCs w:val="24"/>
        </w:rPr>
        <w:t xml:space="preserve"> </w:t>
      </w:r>
      <w:r w:rsidR="00AF3E2C">
        <w:rPr>
          <w:b/>
          <w:sz w:val="24"/>
          <w:szCs w:val="24"/>
        </w:rPr>
        <w:t>illustration</w:t>
      </w:r>
      <w:r>
        <w:rPr>
          <w:b/>
          <w:sz w:val="24"/>
          <w:szCs w:val="24"/>
        </w:rPr>
        <w:t xml:space="preserve"> en basket-ball</w:t>
      </w:r>
    </w:p>
    <w:p w:rsidR="00D77369" w:rsidRPr="0021726D" w:rsidRDefault="00D77369" w:rsidP="00D77369">
      <w:pPr>
        <w:jc w:val="center"/>
        <w:rPr>
          <w:b/>
          <w:i/>
          <w:sz w:val="24"/>
          <w:szCs w:val="24"/>
        </w:rPr>
      </w:pPr>
      <w:r w:rsidRPr="0021726D">
        <w:rPr>
          <w:b/>
          <w:i/>
          <w:sz w:val="24"/>
          <w:szCs w:val="24"/>
        </w:rPr>
        <w:t>Benoît Lenzen</w:t>
      </w:r>
    </w:p>
    <w:p w:rsidR="00D77369" w:rsidRPr="0021726D" w:rsidRDefault="00D77369" w:rsidP="00D77369">
      <w:pPr>
        <w:jc w:val="center"/>
        <w:rPr>
          <w:i/>
          <w:sz w:val="24"/>
          <w:szCs w:val="24"/>
        </w:rPr>
      </w:pPr>
      <w:r w:rsidRPr="0021726D">
        <w:rPr>
          <w:i/>
          <w:sz w:val="24"/>
          <w:szCs w:val="24"/>
        </w:rPr>
        <w:t>Université de Genève, FPSE/IUFE</w:t>
      </w:r>
    </w:p>
    <w:p w:rsidR="00D77369" w:rsidRPr="0021726D" w:rsidRDefault="00D77369" w:rsidP="00D77369">
      <w:pPr>
        <w:jc w:val="both"/>
        <w:rPr>
          <w:sz w:val="24"/>
          <w:szCs w:val="24"/>
        </w:rPr>
      </w:pPr>
    </w:p>
    <w:p w:rsidR="00D77369" w:rsidRPr="001C15A4" w:rsidRDefault="00D77369" w:rsidP="00D77369">
      <w:pPr>
        <w:jc w:val="both"/>
        <w:rPr>
          <w:sz w:val="24"/>
          <w:szCs w:val="24"/>
        </w:rPr>
      </w:pPr>
      <w:r w:rsidRPr="0021726D">
        <w:rPr>
          <w:b/>
          <w:sz w:val="24"/>
          <w:szCs w:val="24"/>
        </w:rPr>
        <w:t>Mots clés </w:t>
      </w:r>
      <w:r w:rsidRPr="001C15A4">
        <w:rPr>
          <w:sz w:val="24"/>
          <w:szCs w:val="24"/>
        </w:rPr>
        <w:t xml:space="preserve">: </w:t>
      </w:r>
      <w:r w:rsidR="005B1B67">
        <w:rPr>
          <w:sz w:val="24"/>
          <w:szCs w:val="24"/>
        </w:rPr>
        <w:t>verbalisation</w:t>
      </w:r>
      <w:r w:rsidR="001C15A4" w:rsidRPr="001C15A4">
        <w:rPr>
          <w:sz w:val="24"/>
          <w:szCs w:val="24"/>
        </w:rPr>
        <w:t xml:space="preserve"> ; </w:t>
      </w:r>
      <w:r w:rsidR="005B1B67">
        <w:rPr>
          <w:sz w:val="24"/>
          <w:szCs w:val="24"/>
        </w:rPr>
        <w:t>dévolution</w:t>
      </w:r>
      <w:r w:rsidR="001C15A4">
        <w:rPr>
          <w:sz w:val="24"/>
          <w:szCs w:val="24"/>
        </w:rPr>
        <w:t> ;</w:t>
      </w:r>
      <w:r w:rsidR="005B1B67">
        <w:rPr>
          <w:sz w:val="24"/>
          <w:szCs w:val="24"/>
        </w:rPr>
        <w:t xml:space="preserve"> institutionnalisation</w:t>
      </w:r>
      <w:r w:rsidR="001C15A4">
        <w:rPr>
          <w:sz w:val="24"/>
          <w:szCs w:val="24"/>
        </w:rPr>
        <w:t xml:space="preserve"> ; </w:t>
      </w:r>
      <w:r w:rsidR="005B1B67">
        <w:rPr>
          <w:sz w:val="24"/>
          <w:szCs w:val="24"/>
        </w:rPr>
        <w:t>éducation physique ; milieu didactique</w:t>
      </w:r>
    </w:p>
    <w:p w:rsidR="00D77369" w:rsidRPr="0021726D" w:rsidRDefault="00D77369" w:rsidP="00D77369">
      <w:pPr>
        <w:jc w:val="both"/>
        <w:rPr>
          <w:b/>
          <w:sz w:val="24"/>
          <w:szCs w:val="24"/>
        </w:rPr>
      </w:pPr>
      <w:r w:rsidRPr="0021726D">
        <w:rPr>
          <w:b/>
          <w:sz w:val="24"/>
          <w:szCs w:val="24"/>
        </w:rPr>
        <w:t>Résumé</w:t>
      </w:r>
    </w:p>
    <w:p w:rsidR="00D77369" w:rsidRPr="003A0BF4" w:rsidRDefault="001F7093" w:rsidP="00004DC4">
      <w:pPr>
        <w:spacing w:line="360" w:lineRule="auto"/>
        <w:jc w:val="both"/>
        <w:rPr>
          <w:sz w:val="24"/>
          <w:szCs w:val="24"/>
        </w:rPr>
      </w:pPr>
      <w:r>
        <w:rPr>
          <w:sz w:val="24"/>
          <w:szCs w:val="24"/>
        </w:rPr>
        <w:t xml:space="preserve">Dans </w:t>
      </w:r>
      <w:r w:rsidR="00AF3E2C">
        <w:rPr>
          <w:sz w:val="24"/>
          <w:szCs w:val="24"/>
        </w:rPr>
        <w:t>une</w:t>
      </w:r>
      <w:r>
        <w:rPr>
          <w:sz w:val="24"/>
          <w:szCs w:val="24"/>
        </w:rPr>
        <w:t xml:space="preserve"> perspective post-piagétienne, enseigner implique un double mouvement dévolution/institutionnalisation. En éducation physique, les savoirs prennent souvent la forme de </w:t>
      </w:r>
      <w:r>
        <w:rPr>
          <w:i/>
          <w:sz w:val="24"/>
          <w:szCs w:val="24"/>
        </w:rPr>
        <w:t>règles d’action</w:t>
      </w:r>
      <w:r>
        <w:rPr>
          <w:sz w:val="24"/>
          <w:szCs w:val="24"/>
        </w:rPr>
        <w:t xml:space="preserve">. </w:t>
      </w:r>
      <w:r w:rsidR="003A0BF4">
        <w:rPr>
          <w:sz w:val="24"/>
          <w:szCs w:val="24"/>
        </w:rPr>
        <w:t xml:space="preserve">Etant entendu qu’en ce qui concerne les habiletés motrices, on puisse savoir ce qu’il faudrait faire pour être performant sans savoir le faire, la verbalisation des règles de l’action efficace par les élèves et leur institutionnalisation par l’enseignant ne débouche pas automatiquement et de façon linéaire sur la transformation des </w:t>
      </w:r>
      <w:r w:rsidR="00EC4054">
        <w:rPr>
          <w:sz w:val="24"/>
          <w:szCs w:val="24"/>
        </w:rPr>
        <w:t>a</w:t>
      </w:r>
      <w:r w:rsidR="003A0BF4">
        <w:rPr>
          <w:sz w:val="24"/>
          <w:szCs w:val="24"/>
        </w:rPr>
        <w:t xml:space="preserve">ctions motrices des élèves. Cette relation complexe entre verbalisation, i.e. formulation de règles d’action, et habiletés motrices est au cœur de la présente contribution. Nous l’illustrons à partir d’une situation </w:t>
      </w:r>
      <w:r w:rsidR="00EC4054">
        <w:rPr>
          <w:sz w:val="24"/>
          <w:szCs w:val="24"/>
        </w:rPr>
        <w:t>de match aménagé</w:t>
      </w:r>
      <w:r w:rsidR="003A0BF4">
        <w:rPr>
          <w:sz w:val="24"/>
          <w:szCs w:val="24"/>
        </w:rPr>
        <w:t xml:space="preserve"> enseignée lors de deux leçons de basket-ball successive</w:t>
      </w:r>
      <w:r w:rsidR="00EC4054">
        <w:rPr>
          <w:sz w:val="24"/>
          <w:szCs w:val="24"/>
        </w:rPr>
        <w:t>s</w:t>
      </w:r>
      <w:r w:rsidR="003A0BF4">
        <w:rPr>
          <w:sz w:val="24"/>
          <w:szCs w:val="24"/>
        </w:rPr>
        <w:t xml:space="preserve">. L’analyse </w:t>
      </w:r>
      <w:r w:rsidR="003A0BF4">
        <w:rPr>
          <w:i/>
          <w:sz w:val="24"/>
          <w:szCs w:val="24"/>
        </w:rPr>
        <w:t xml:space="preserve">a priori </w:t>
      </w:r>
      <w:r w:rsidR="003A0BF4">
        <w:rPr>
          <w:sz w:val="24"/>
          <w:szCs w:val="24"/>
        </w:rPr>
        <w:t xml:space="preserve">de cette </w:t>
      </w:r>
      <w:r w:rsidR="00EC4054">
        <w:rPr>
          <w:sz w:val="24"/>
          <w:szCs w:val="24"/>
        </w:rPr>
        <w:t>situation</w:t>
      </w:r>
      <w:r w:rsidR="003A0BF4">
        <w:rPr>
          <w:sz w:val="24"/>
          <w:szCs w:val="24"/>
        </w:rPr>
        <w:t xml:space="preserve"> fait ressortir un décalage entre </w:t>
      </w:r>
      <w:r w:rsidR="00EC4054">
        <w:rPr>
          <w:sz w:val="24"/>
          <w:szCs w:val="24"/>
        </w:rPr>
        <w:t>les contraintes du milieu et les actions motrices attendues des élèves. Dans les moments de débats d’idées qui alternent avec les matchs aménagés, l’enseignante éprouve des difficultés à réguler les apprentissages des élèves et faire émerger les règles d’action appropriées. Elle institutionnalise progressivement les savoirs en jeu sans que les connaissances auxquelles ils se réfèrent, certes bien présentes dans les interactions verbales enseignante-élève, ne se soient concrétisées dans des transformations avérées des élèves au plan moteur.</w:t>
      </w:r>
    </w:p>
    <w:p w:rsidR="00D77369" w:rsidRPr="0021726D" w:rsidRDefault="00D77369" w:rsidP="00D77369">
      <w:pPr>
        <w:jc w:val="both"/>
        <w:rPr>
          <w:b/>
          <w:sz w:val="24"/>
          <w:szCs w:val="24"/>
        </w:rPr>
      </w:pPr>
      <w:r w:rsidRPr="0021726D">
        <w:rPr>
          <w:b/>
          <w:sz w:val="24"/>
          <w:szCs w:val="24"/>
        </w:rPr>
        <w:t>Texte</w:t>
      </w:r>
    </w:p>
    <w:p w:rsidR="00565B8D" w:rsidRDefault="007E55A4" w:rsidP="001C15A4">
      <w:pPr>
        <w:spacing w:line="360" w:lineRule="auto"/>
        <w:jc w:val="both"/>
        <w:rPr>
          <w:sz w:val="24"/>
          <w:szCs w:val="24"/>
        </w:rPr>
      </w:pPr>
      <w:r w:rsidRPr="0021726D">
        <w:rPr>
          <w:sz w:val="24"/>
          <w:szCs w:val="24"/>
        </w:rPr>
        <w:t xml:space="preserve">Dans </w:t>
      </w:r>
      <w:r w:rsidR="005B1B67">
        <w:rPr>
          <w:sz w:val="24"/>
          <w:szCs w:val="24"/>
        </w:rPr>
        <w:t>la</w:t>
      </w:r>
      <w:r w:rsidRPr="0021726D">
        <w:rPr>
          <w:sz w:val="24"/>
          <w:szCs w:val="24"/>
        </w:rPr>
        <w:t xml:space="preserve"> perspective</w:t>
      </w:r>
      <w:r w:rsidR="005B1B67">
        <w:rPr>
          <w:sz w:val="24"/>
          <w:szCs w:val="24"/>
        </w:rPr>
        <w:t xml:space="preserve"> post-piagétienne défendue par Brousseau</w:t>
      </w:r>
      <w:r w:rsidRPr="0021726D">
        <w:rPr>
          <w:sz w:val="24"/>
          <w:szCs w:val="24"/>
        </w:rPr>
        <w:t>, enseign</w:t>
      </w:r>
      <w:r w:rsidR="00486EB9">
        <w:rPr>
          <w:sz w:val="24"/>
          <w:szCs w:val="24"/>
        </w:rPr>
        <w:t>er implique un double mouvement</w:t>
      </w:r>
      <w:r w:rsidR="005F220C">
        <w:rPr>
          <w:sz w:val="24"/>
          <w:szCs w:val="24"/>
        </w:rPr>
        <w:t>, entre</w:t>
      </w:r>
      <w:r w:rsidRPr="0021726D">
        <w:rPr>
          <w:sz w:val="24"/>
          <w:szCs w:val="24"/>
        </w:rPr>
        <w:t xml:space="preserve"> </w:t>
      </w:r>
      <w:r w:rsidR="00486EB9">
        <w:rPr>
          <w:sz w:val="24"/>
          <w:szCs w:val="24"/>
        </w:rPr>
        <w:t>construction de connaissances en situation (</w:t>
      </w:r>
      <w:r w:rsidR="00486EB9" w:rsidRPr="00486EB9">
        <w:rPr>
          <w:i/>
          <w:sz w:val="24"/>
          <w:szCs w:val="24"/>
        </w:rPr>
        <w:t>dévolution</w:t>
      </w:r>
      <w:r w:rsidR="00486EB9">
        <w:rPr>
          <w:sz w:val="24"/>
          <w:szCs w:val="24"/>
        </w:rPr>
        <w:t>)</w:t>
      </w:r>
      <w:r w:rsidR="001F7093">
        <w:rPr>
          <w:sz w:val="24"/>
          <w:szCs w:val="24"/>
        </w:rPr>
        <w:t xml:space="preserve"> et </w:t>
      </w:r>
      <w:r w:rsidR="00486EB9">
        <w:rPr>
          <w:sz w:val="24"/>
          <w:szCs w:val="24"/>
        </w:rPr>
        <w:t>qualification de ces connaissances contextualisées comme savoirs (</w:t>
      </w:r>
      <w:r w:rsidR="00486EB9" w:rsidRPr="00486EB9">
        <w:rPr>
          <w:i/>
          <w:sz w:val="24"/>
          <w:szCs w:val="24"/>
        </w:rPr>
        <w:t>institutionnalisation</w:t>
      </w:r>
      <w:r w:rsidR="00486EB9">
        <w:rPr>
          <w:sz w:val="24"/>
          <w:szCs w:val="24"/>
        </w:rPr>
        <w:t>)</w:t>
      </w:r>
      <w:r w:rsidRPr="0021726D">
        <w:rPr>
          <w:sz w:val="24"/>
          <w:szCs w:val="24"/>
        </w:rPr>
        <w:t xml:space="preserve"> (Laparra &amp; Mar</w:t>
      </w:r>
      <w:r w:rsidR="00B465EC">
        <w:rPr>
          <w:sz w:val="24"/>
          <w:szCs w:val="24"/>
        </w:rPr>
        <w:t>golinas, 2010</w:t>
      </w:r>
      <w:r w:rsidRPr="0021726D">
        <w:rPr>
          <w:sz w:val="24"/>
          <w:szCs w:val="24"/>
        </w:rPr>
        <w:t xml:space="preserve">). </w:t>
      </w:r>
      <w:r w:rsidR="00B16AE9">
        <w:rPr>
          <w:sz w:val="24"/>
          <w:szCs w:val="24"/>
        </w:rPr>
        <w:t xml:space="preserve">En éducation physique (EP), les savoirs prennent souvent la forme de </w:t>
      </w:r>
      <w:r w:rsidR="00B16AE9">
        <w:rPr>
          <w:i/>
          <w:sz w:val="24"/>
          <w:szCs w:val="24"/>
        </w:rPr>
        <w:t>règles d’action</w:t>
      </w:r>
      <w:r w:rsidR="00B16AE9">
        <w:rPr>
          <w:sz w:val="24"/>
          <w:szCs w:val="24"/>
        </w:rPr>
        <w:t>, définies par Gréhaigne et Guillon (1991, cités par Gréhaigne, 1996) comme « </w:t>
      </w:r>
      <w:r w:rsidR="00B16AE9">
        <w:rPr>
          <w:i/>
          <w:sz w:val="24"/>
          <w:szCs w:val="24"/>
        </w:rPr>
        <w:t xml:space="preserve">les conditions à respecter et les éléments à prendre en compte pour que l’action soit </w:t>
      </w:r>
      <w:r w:rsidR="00B16AE9">
        <w:rPr>
          <w:i/>
          <w:sz w:val="24"/>
          <w:szCs w:val="24"/>
        </w:rPr>
        <w:lastRenderedPageBreak/>
        <w:t>efficace</w:t>
      </w:r>
      <w:r w:rsidR="00B16AE9">
        <w:rPr>
          <w:sz w:val="24"/>
          <w:szCs w:val="24"/>
        </w:rPr>
        <w:t xml:space="preserve"> » (p. 35). </w:t>
      </w:r>
      <w:r w:rsidR="00565B8D">
        <w:rPr>
          <w:sz w:val="24"/>
          <w:szCs w:val="24"/>
        </w:rPr>
        <w:t>Etant entendu</w:t>
      </w:r>
      <w:r w:rsidR="00B16AE9">
        <w:rPr>
          <w:sz w:val="24"/>
          <w:szCs w:val="24"/>
        </w:rPr>
        <w:t xml:space="preserve"> qu’en ce qui concerne les habiletés motrices, on puisse savoir ce qu’il faudrait faire pour être plus performant sans savoir le faire (Darnis &amp; Lafont, 2008)</w:t>
      </w:r>
      <w:r w:rsidR="00565B8D">
        <w:rPr>
          <w:sz w:val="24"/>
          <w:szCs w:val="24"/>
        </w:rPr>
        <w:t xml:space="preserve">, la verbalisation des règles </w:t>
      </w:r>
      <w:r w:rsidR="00A66F49">
        <w:rPr>
          <w:sz w:val="24"/>
          <w:szCs w:val="24"/>
        </w:rPr>
        <w:t>de l’action efficace</w:t>
      </w:r>
      <w:r w:rsidR="00565B8D">
        <w:rPr>
          <w:sz w:val="24"/>
          <w:szCs w:val="24"/>
        </w:rPr>
        <w:t xml:space="preserve"> par les élèves et leur institutionnalisation par l’enseignant ne débouche pas automatiquement et de façon linéaire sur la transformation des </w:t>
      </w:r>
      <w:r w:rsidR="00EC4054">
        <w:rPr>
          <w:sz w:val="24"/>
          <w:szCs w:val="24"/>
        </w:rPr>
        <w:t>act</w:t>
      </w:r>
      <w:r w:rsidR="00565B8D">
        <w:rPr>
          <w:sz w:val="24"/>
          <w:szCs w:val="24"/>
        </w:rPr>
        <w:t>ions motrices des élèves.</w:t>
      </w:r>
      <w:r w:rsidR="00B16AE9">
        <w:rPr>
          <w:sz w:val="24"/>
          <w:szCs w:val="24"/>
        </w:rPr>
        <w:t xml:space="preserve"> </w:t>
      </w:r>
    </w:p>
    <w:p w:rsidR="00CB5A42" w:rsidRDefault="00A66F49" w:rsidP="001C15A4">
      <w:pPr>
        <w:spacing w:line="360" w:lineRule="auto"/>
        <w:jc w:val="both"/>
        <w:rPr>
          <w:sz w:val="24"/>
          <w:szCs w:val="24"/>
        </w:rPr>
      </w:pPr>
      <w:r>
        <w:rPr>
          <w:sz w:val="24"/>
          <w:szCs w:val="24"/>
        </w:rPr>
        <w:t>Cette relation complexe ent</w:t>
      </w:r>
      <w:r w:rsidR="00565B8D">
        <w:rPr>
          <w:sz w:val="24"/>
          <w:szCs w:val="24"/>
        </w:rPr>
        <w:t xml:space="preserve">re verbalisation, i.e. formulation de règles d’action, et habiletés motrices </w:t>
      </w:r>
      <w:r>
        <w:rPr>
          <w:sz w:val="24"/>
          <w:szCs w:val="24"/>
        </w:rPr>
        <w:t xml:space="preserve">est au cœur de la présente contribution. Elle dépend notamment du type de </w:t>
      </w:r>
      <w:r w:rsidR="007962A8">
        <w:rPr>
          <w:sz w:val="24"/>
          <w:szCs w:val="24"/>
        </w:rPr>
        <w:t>situations d’apprentissage (SA)</w:t>
      </w:r>
      <w:r>
        <w:rPr>
          <w:sz w:val="24"/>
          <w:szCs w:val="24"/>
        </w:rPr>
        <w:t xml:space="preserve"> proposées par l’enseignant</w:t>
      </w:r>
      <w:r w:rsidR="007962A8">
        <w:rPr>
          <w:sz w:val="24"/>
          <w:szCs w:val="24"/>
        </w:rPr>
        <w:t>.</w:t>
      </w:r>
      <w:r>
        <w:rPr>
          <w:sz w:val="24"/>
          <w:szCs w:val="24"/>
        </w:rPr>
        <w:t xml:space="preserve"> Considérant qu’il ne peut véritablement y avoir dévolution que dans des </w:t>
      </w:r>
      <w:r w:rsidR="007962A8">
        <w:rPr>
          <w:sz w:val="24"/>
          <w:szCs w:val="24"/>
        </w:rPr>
        <w:t>SA</w:t>
      </w:r>
      <w:r>
        <w:rPr>
          <w:sz w:val="24"/>
          <w:szCs w:val="24"/>
        </w:rPr>
        <w:t xml:space="preserve"> pourvues de densité, de consistance épistémologique (auteur, accepté)</w:t>
      </w:r>
      <w:r w:rsidR="007962A8">
        <w:rPr>
          <w:sz w:val="24"/>
          <w:szCs w:val="24"/>
        </w:rPr>
        <w:t xml:space="preserve"> et que cette caractéristique est essentiellement présente dans les </w:t>
      </w:r>
      <w:r w:rsidR="007962A8">
        <w:rPr>
          <w:i/>
          <w:sz w:val="24"/>
          <w:szCs w:val="24"/>
        </w:rPr>
        <w:t xml:space="preserve">situations d’apprentissage proches de la situation de référence </w:t>
      </w:r>
      <w:r w:rsidR="007962A8">
        <w:rPr>
          <w:sz w:val="24"/>
          <w:szCs w:val="24"/>
        </w:rPr>
        <w:t>(SAPSR)</w:t>
      </w:r>
      <w:r w:rsidR="001F7093">
        <w:rPr>
          <w:sz w:val="24"/>
          <w:szCs w:val="24"/>
        </w:rPr>
        <w:t>, nous focalis</w:t>
      </w:r>
      <w:r w:rsidR="007962A8">
        <w:rPr>
          <w:sz w:val="24"/>
          <w:szCs w:val="24"/>
        </w:rPr>
        <w:t xml:space="preserve">ons </w:t>
      </w:r>
      <w:r w:rsidR="001F7093">
        <w:rPr>
          <w:sz w:val="24"/>
          <w:szCs w:val="24"/>
        </w:rPr>
        <w:t>notre recherche</w:t>
      </w:r>
      <w:r w:rsidR="007962A8">
        <w:rPr>
          <w:sz w:val="24"/>
          <w:szCs w:val="24"/>
        </w:rPr>
        <w:t xml:space="preserve"> sur ce type de SA. </w:t>
      </w:r>
      <w:r w:rsidR="00CB5A42">
        <w:rPr>
          <w:sz w:val="24"/>
          <w:szCs w:val="24"/>
        </w:rPr>
        <w:t xml:space="preserve">Les questions qui orientent nos analyses sont les suivantes : Quels sont les savoirs que l’enseignant vise à transmettre ? </w:t>
      </w:r>
      <w:r w:rsidR="00AF3E2C">
        <w:rPr>
          <w:sz w:val="24"/>
          <w:szCs w:val="24"/>
        </w:rPr>
        <w:t>Le milieu didactique a-t-il</w:t>
      </w:r>
      <w:r w:rsidR="00CB5A42">
        <w:rPr>
          <w:sz w:val="24"/>
          <w:szCs w:val="24"/>
        </w:rPr>
        <w:t xml:space="preserve"> le potentiel de permettre aux élèves de construire des connaissances en lien avec le projet d’enseignement ? Les connaissances émergeant « dans le discours » se traduisent-elles par des réponses motrices plus adaptées des élèves et/ou inversement ?</w:t>
      </w:r>
    </w:p>
    <w:p w:rsidR="007962A8" w:rsidRPr="007B016D" w:rsidRDefault="007962A8" w:rsidP="001C15A4">
      <w:pPr>
        <w:spacing w:line="360" w:lineRule="auto"/>
        <w:jc w:val="both"/>
        <w:rPr>
          <w:sz w:val="24"/>
          <w:szCs w:val="24"/>
        </w:rPr>
      </w:pPr>
      <w:r>
        <w:rPr>
          <w:sz w:val="24"/>
          <w:szCs w:val="24"/>
        </w:rPr>
        <w:t xml:space="preserve">Les données retenues pour cette contribution </w:t>
      </w:r>
      <w:r w:rsidR="00B90C40">
        <w:rPr>
          <w:sz w:val="24"/>
          <w:szCs w:val="24"/>
        </w:rPr>
        <w:t xml:space="preserve">proviennent des </w:t>
      </w:r>
      <w:r w:rsidR="001F7093">
        <w:rPr>
          <w:sz w:val="24"/>
          <w:szCs w:val="24"/>
        </w:rPr>
        <w:t xml:space="preserve">cinquième et sixième </w:t>
      </w:r>
      <w:r w:rsidR="00B90C40">
        <w:rPr>
          <w:sz w:val="24"/>
          <w:szCs w:val="24"/>
        </w:rPr>
        <w:t>leçons d’un cycle d’enseignement/apprentissage de 12 leçons de basket-ball dispensé par une jeune enseignante d’EP à une classe mixte de 10</w:t>
      </w:r>
      <w:r w:rsidR="00B90C40" w:rsidRPr="00B90C40">
        <w:rPr>
          <w:sz w:val="24"/>
          <w:szCs w:val="24"/>
          <w:vertAlign w:val="superscript"/>
        </w:rPr>
        <w:t>ème</w:t>
      </w:r>
      <w:r w:rsidR="00B90C40">
        <w:rPr>
          <w:sz w:val="24"/>
          <w:szCs w:val="24"/>
        </w:rPr>
        <w:t xml:space="preserve"> année. </w:t>
      </w:r>
      <w:r w:rsidR="007B016D">
        <w:rPr>
          <w:sz w:val="24"/>
          <w:szCs w:val="24"/>
        </w:rPr>
        <w:t xml:space="preserve">L’analyse </w:t>
      </w:r>
      <w:r w:rsidR="007B016D">
        <w:rPr>
          <w:i/>
          <w:sz w:val="24"/>
          <w:szCs w:val="24"/>
        </w:rPr>
        <w:t xml:space="preserve">a priori </w:t>
      </w:r>
      <w:r w:rsidR="007B016D">
        <w:rPr>
          <w:sz w:val="24"/>
          <w:szCs w:val="24"/>
        </w:rPr>
        <w:t>de la SAPSR centrale de ces deux leçons</w:t>
      </w:r>
      <w:r w:rsidR="00486EB9">
        <w:rPr>
          <w:sz w:val="24"/>
          <w:szCs w:val="24"/>
        </w:rPr>
        <w:t xml:space="preserve"> (match aménagé)</w:t>
      </w:r>
      <w:r w:rsidR="007B016D">
        <w:rPr>
          <w:sz w:val="24"/>
          <w:szCs w:val="24"/>
        </w:rPr>
        <w:t xml:space="preserve"> fait ressortir un décalage entre des contraintes qui orientent fortement le jeu vers un jeu de contre-attaque et </w:t>
      </w:r>
      <w:r w:rsidR="005F220C">
        <w:rPr>
          <w:sz w:val="24"/>
          <w:szCs w:val="24"/>
        </w:rPr>
        <w:t xml:space="preserve">la fiche d’observation dans laquelle </w:t>
      </w:r>
      <w:r w:rsidR="007B016D">
        <w:rPr>
          <w:sz w:val="24"/>
          <w:szCs w:val="24"/>
        </w:rPr>
        <w:t xml:space="preserve">les élèves sont supposés </w:t>
      </w:r>
      <w:r w:rsidR="005F220C">
        <w:rPr>
          <w:sz w:val="24"/>
          <w:szCs w:val="24"/>
        </w:rPr>
        <w:t>consigner les actions motrices de</w:t>
      </w:r>
      <w:r w:rsidR="007B016D">
        <w:rPr>
          <w:sz w:val="24"/>
          <w:szCs w:val="24"/>
        </w:rPr>
        <w:t xml:space="preserve"> leurs condiscipl</w:t>
      </w:r>
      <w:r w:rsidR="005F220C">
        <w:rPr>
          <w:sz w:val="24"/>
          <w:szCs w:val="24"/>
        </w:rPr>
        <w:t>es,</w:t>
      </w:r>
      <w:r w:rsidR="007B016D">
        <w:rPr>
          <w:sz w:val="24"/>
          <w:szCs w:val="24"/>
        </w:rPr>
        <w:t xml:space="preserve"> qui ne tient pas compte du ciblage de la SA. Dans les moments de débats d’idées qui alternent avec </w:t>
      </w:r>
      <w:r w:rsidR="00486EB9">
        <w:rPr>
          <w:sz w:val="24"/>
          <w:szCs w:val="24"/>
        </w:rPr>
        <w:t xml:space="preserve">les matchs aménagés, l’enseignante éprouve des difficultés à réguler les apprentissages des élèves et faire émerger les règles d’action appropriées. </w:t>
      </w:r>
      <w:r w:rsidR="005F220C">
        <w:rPr>
          <w:sz w:val="24"/>
          <w:szCs w:val="24"/>
        </w:rPr>
        <w:t>Elle institutionnalise progressivement les savoirs en jeu sans que les connaissances auxquelles ils se réfèrent, certes bien présentes dans les interactions verbales enseignante-élève, ne se soient concrétisées dans des transformations avérées des élèves au plan moteur.</w:t>
      </w:r>
    </w:p>
    <w:p w:rsidR="00D77369" w:rsidRPr="0021726D" w:rsidRDefault="007E55A4" w:rsidP="007E55A4">
      <w:pPr>
        <w:jc w:val="both"/>
        <w:rPr>
          <w:b/>
          <w:i/>
          <w:sz w:val="24"/>
          <w:szCs w:val="24"/>
        </w:rPr>
      </w:pPr>
      <w:r w:rsidRPr="0021726D">
        <w:rPr>
          <w:b/>
          <w:i/>
          <w:sz w:val="24"/>
          <w:szCs w:val="24"/>
        </w:rPr>
        <w:t>Références</w:t>
      </w:r>
    </w:p>
    <w:p w:rsidR="00B16AE9" w:rsidRPr="00B16AE9" w:rsidRDefault="00B16AE9" w:rsidP="007E55A4">
      <w:pPr>
        <w:spacing w:line="360" w:lineRule="auto"/>
        <w:ind w:left="709" w:hanging="709"/>
        <w:jc w:val="both"/>
        <w:rPr>
          <w:sz w:val="24"/>
          <w:szCs w:val="24"/>
        </w:rPr>
      </w:pPr>
      <w:r>
        <w:rPr>
          <w:sz w:val="24"/>
          <w:szCs w:val="24"/>
        </w:rPr>
        <w:lastRenderedPageBreak/>
        <w:t xml:space="preserve">Darnis, F. &amp; Lafont, L. (2008). Effets de la dissymétrie de compétences pour un apprentissage coopératif en dyades en éducation physique et sportive. </w:t>
      </w:r>
      <w:r>
        <w:rPr>
          <w:i/>
          <w:sz w:val="24"/>
          <w:szCs w:val="24"/>
        </w:rPr>
        <w:t>Les cahiers internationaux de psychologie sociale</w:t>
      </w:r>
      <w:r>
        <w:rPr>
          <w:sz w:val="24"/>
          <w:szCs w:val="24"/>
        </w:rPr>
        <w:t xml:space="preserve">, </w:t>
      </w:r>
      <w:r>
        <w:rPr>
          <w:i/>
          <w:sz w:val="24"/>
          <w:szCs w:val="24"/>
        </w:rPr>
        <w:t>79</w:t>
      </w:r>
      <w:r>
        <w:rPr>
          <w:sz w:val="24"/>
          <w:szCs w:val="24"/>
        </w:rPr>
        <w:t>, 69-83.</w:t>
      </w:r>
    </w:p>
    <w:p w:rsidR="00B16AE9" w:rsidRPr="00B16AE9" w:rsidRDefault="00B16AE9" w:rsidP="007E55A4">
      <w:pPr>
        <w:spacing w:line="360" w:lineRule="auto"/>
        <w:ind w:left="709" w:hanging="709"/>
        <w:jc w:val="both"/>
        <w:rPr>
          <w:sz w:val="24"/>
          <w:szCs w:val="24"/>
        </w:rPr>
      </w:pPr>
      <w:r>
        <w:rPr>
          <w:sz w:val="24"/>
          <w:szCs w:val="24"/>
        </w:rPr>
        <w:t xml:space="preserve">Gréhaigne, J.-F. (1996). Les règles d’action : un support pour les apprentissages. </w:t>
      </w:r>
      <w:r>
        <w:rPr>
          <w:i/>
          <w:sz w:val="24"/>
          <w:szCs w:val="24"/>
        </w:rPr>
        <w:t>Revue EPS</w:t>
      </w:r>
      <w:r>
        <w:rPr>
          <w:sz w:val="24"/>
          <w:szCs w:val="24"/>
        </w:rPr>
        <w:t xml:space="preserve">, </w:t>
      </w:r>
      <w:r>
        <w:rPr>
          <w:i/>
          <w:sz w:val="24"/>
          <w:szCs w:val="24"/>
        </w:rPr>
        <w:t>260</w:t>
      </w:r>
      <w:r>
        <w:rPr>
          <w:sz w:val="24"/>
          <w:szCs w:val="24"/>
        </w:rPr>
        <w:t>, 35-36.</w:t>
      </w:r>
    </w:p>
    <w:p w:rsidR="007E55A4" w:rsidRDefault="007E55A4" w:rsidP="007E55A4">
      <w:pPr>
        <w:spacing w:line="360" w:lineRule="auto"/>
        <w:ind w:left="709" w:hanging="709"/>
        <w:jc w:val="both"/>
        <w:rPr>
          <w:sz w:val="24"/>
          <w:szCs w:val="24"/>
        </w:rPr>
      </w:pPr>
      <w:r w:rsidRPr="0021726D">
        <w:rPr>
          <w:sz w:val="24"/>
          <w:szCs w:val="24"/>
        </w:rPr>
        <w:t xml:space="preserve">Laparra, M. &amp; Margolinas, C. (2010). Milieu, connaissance, savoir. Des concepts pour l’analyse de situations d’enseignement. </w:t>
      </w:r>
      <w:r w:rsidRPr="0021726D">
        <w:rPr>
          <w:i/>
          <w:sz w:val="24"/>
          <w:szCs w:val="24"/>
        </w:rPr>
        <w:t>Pratiques</w:t>
      </w:r>
      <w:r w:rsidRPr="0021726D">
        <w:rPr>
          <w:sz w:val="24"/>
          <w:szCs w:val="24"/>
        </w:rPr>
        <w:t xml:space="preserve">, </w:t>
      </w:r>
      <w:r w:rsidRPr="0021726D">
        <w:rPr>
          <w:i/>
          <w:sz w:val="24"/>
          <w:szCs w:val="24"/>
        </w:rPr>
        <w:t>145-146</w:t>
      </w:r>
      <w:r w:rsidRPr="0021726D">
        <w:rPr>
          <w:sz w:val="24"/>
          <w:szCs w:val="24"/>
        </w:rPr>
        <w:t>, 141-160.</w:t>
      </w:r>
    </w:p>
    <w:p w:rsidR="007E55A4" w:rsidRPr="0021726D" w:rsidRDefault="007E55A4" w:rsidP="007E55A4">
      <w:pPr>
        <w:spacing w:line="360" w:lineRule="auto"/>
        <w:ind w:left="709" w:hanging="709"/>
        <w:jc w:val="both"/>
        <w:rPr>
          <w:sz w:val="24"/>
          <w:szCs w:val="24"/>
        </w:rPr>
      </w:pPr>
    </w:p>
    <w:p w:rsidR="007E55A4" w:rsidRPr="0021726D" w:rsidRDefault="007E55A4" w:rsidP="007E55A4">
      <w:pPr>
        <w:jc w:val="both"/>
        <w:rPr>
          <w:sz w:val="24"/>
          <w:szCs w:val="24"/>
        </w:rPr>
      </w:pPr>
    </w:p>
    <w:sectPr w:rsidR="007E55A4" w:rsidRPr="00217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1E" w:rsidRDefault="0051101E" w:rsidP="0056191A">
      <w:pPr>
        <w:spacing w:after="0" w:line="240" w:lineRule="auto"/>
      </w:pPr>
      <w:r>
        <w:separator/>
      </w:r>
    </w:p>
  </w:endnote>
  <w:endnote w:type="continuationSeparator" w:id="0">
    <w:p w:rsidR="0051101E" w:rsidRDefault="0051101E" w:rsidP="0056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4580"/>
      <w:docPartObj>
        <w:docPartGallery w:val="Page Numbers (Bottom of Page)"/>
        <w:docPartUnique/>
      </w:docPartObj>
    </w:sdtPr>
    <w:sdtEndPr/>
    <w:sdtContent>
      <w:p w:rsidR="0056191A" w:rsidRDefault="0056191A">
        <w:pPr>
          <w:pStyle w:val="Pieddepage"/>
          <w:jc w:val="right"/>
        </w:pPr>
        <w:r>
          <w:fldChar w:fldCharType="begin"/>
        </w:r>
        <w:r>
          <w:instrText>PAGE   \* MERGEFORMAT</w:instrText>
        </w:r>
        <w:r>
          <w:fldChar w:fldCharType="separate"/>
        </w:r>
        <w:r w:rsidR="007C11F4" w:rsidRPr="007C11F4">
          <w:rPr>
            <w:noProof/>
            <w:lang w:val="fr-FR"/>
          </w:rPr>
          <w:t>1</w:t>
        </w:r>
        <w:r>
          <w:fldChar w:fldCharType="end"/>
        </w:r>
      </w:p>
    </w:sdtContent>
  </w:sdt>
  <w:p w:rsidR="0056191A" w:rsidRDefault="0056191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1E" w:rsidRDefault="0051101E" w:rsidP="0056191A">
      <w:pPr>
        <w:spacing w:after="0" w:line="240" w:lineRule="auto"/>
      </w:pPr>
      <w:r>
        <w:separator/>
      </w:r>
    </w:p>
  </w:footnote>
  <w:footnote w:type="continuationSeparator" w:id="0">
    <w:p w:rsidR="0051101E" w:rsidRDefault="0051101E" w:rsidP="005619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69"/>
    <w:rsid w:val="00004DC4"/>
    <w:rsid w:val="0004239E"/>
    <w:rsid w:val="001C15A4"/>
    <w:rsid w:val="001F7093"/>
    <w:rsid w:val="0021726D"/>
    <w:rsid w:val="002833CC"/>
    <w:rsid w:val="00325323"/>
    <w:rsid w:val="003456DD"/>
    <w:rsid w:val="003A0BF4"/>
    <w:rsid w:val="003C534A"/>
    <w:rsid w:val="00486EB9"/>
    <w:rsid w:val="0051101E"/>
    <w:rsid w:val="0056191A"/>
    <w:rsid w:val="00565B8D"/>
    <w:rsid w:val="00595890"/>
    <w:rsid w:val="005B1B67"/>
    <w:rsid w:val="005F13A0"/>
    <w:rsid w:val="005F220C"/>
    <w:rsid w:val="00641A61"/>
    <w:rsid w:val="006C3DDD"/>
    <w:rsid w:val="007962A8"/>
    <w:rsid w:val="007B016D"/>
    <w:rsid w:val="007C11F4"/>
    <w:rsid w:val="007E0735"/>
    <w:rsid w:val="007E55A4"/>
    <w:rsid w:val="008009B7"/>
    <w:rsid w:val="008B6525"/>
    <w:rsid w:val="008D0167"/>
    <w:rsid w:val="009F72DD"/>
    <w:rsid w:val="00A66F49"/>
    <w:rsid w:val="00A90D4A"/>
    <w:rsid w:val="00AF3E2C"/>
    <w:rsid w:val="00B16AE9"/>
    <w:rsid w:val="00B465EC"/>
    <w:rsid w:val="00B63A28"/>
    <w:rsid w:val="00B90C40"/>
    <w:rsid w:val="00BF3010"/>
    <w:rsid w:val="00C96CE8"/>
    <w:rsid w:val="00CB5A42"/>
    <w:rsid w:val="00D77369"/>
    <w:rsid w:val="00DA1206"/>
    <w:rsid w:val="00E0738A"/>
    <w:rsid w:val="00EC40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191A"/>
    <w:pPr>
      <w:tabs>
        <w:tab w:val="center" w:pos="4536"/>
        <w:tab w:val="right" w:pos="9072"/>
      </w:tabs>
      <w:spacing w:after="0" w:line="240" w:lineRule="auto"/>
    </w:pPr>
  </w:style>
  <w:style w:type="character" w:customStyle="1" w:styleId="En-tteCar">
    <w:name w:val="En-tête Car"/>
    <w:basedOn w:val="Policepardfaut"/>
    <w:link w:val="En-tte"/>
    <w:uiPriority w:val="99"/>
    <w:rsid w:val="0056191A"/>
  </w:style>
  <w:style w:type="paragraph" w:styleId="Pieddepage">
    <w:name w:val="footer"/>
    <w:basedOn w:val="Normal"/>
    <w:link w:val="PieddepageCar"/>
    <w:uiPriority w:val="99"/>
    <w:unhideWhenUsed/>
    <w:rsid w:val="005619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191A"/>
  </w:style>
  <w:style w:type="paragraph" w:styleId="Textedebulles">
    <w:name w:val="Balloon Text"/>
    <w:basedOn w:val="Normal"/>
    <w:link w:val="TextedebullesCar"/>
    <w:uiPriority w:val="99"/>
    <w:semiHidden/>
    <w:unhideWhenUsed/>
    <w:rsid w:val="00AF3E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3E2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191A"/>
    <w:pPr>
      <w:tabs>
        <w:tab w:val="center" w:pos="4536"/>
        <w:tab w:val="right" w:pos="9072"/>
      </w:tabs>
      <w:spacing w:after="0" w:line="240" w:lineRule="auto"/>
    </w:pPr>
  </w:style>
  <w:style w:type="character" w:customStyle="1" w:styleId="En-tteCar">
    <w:name w:val="En-tête Car"/>
    <w:basedOn w:val="Policepardfaut"/>
    <w:link w:val="En-tte"/>
    <w:uiPriority w:val="99"/>
    <w:rsid w:val="0056191A"/>
  </w:style>
  <w:style w:type="paragraph" w:styleId="Pieddepage">
    <w:name w:val="footer"/>
    <w:basedOn w:val="Normal"/>
    <w:link w:val="PieddepageCar"/>
    <w:uiPriority w:val="99"/>
    <w:unhideWhenUsed/>
    <w:rsid w:val="005619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191A"/>
  </w:style>
  <w:style w:type="paragraph" w:styleId="Textedebulles">
    <w:name w:val="Balloon Text"/>
    <w:basedOn w:val="Normal"/>
    <w:link w:val="TextedebullesCar"/>
    <w:uiPriority w:val="99"/>
    <w:semiHidden/>
    <w:unhideWhenUsed/>
    <w:rsid w:val="00AF3E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3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4476</Characters>
  <Application>Microsoft Macintosh Word</Application>
  <DocSecurity>0</DocSecurity>
  <Lines>71</Lines>
  <Paragraphs>21</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essai2</dc:creator>
  <cp:keywords/>
  <dc:description/>
  <cp:lastModifiedBy>Christophe Ronveaux</cp:lastModifiedBy>
  <cp:revision>2</cp:revision>
  <cp:lastPrinted>2015-09-21T13:49:00Z</cp:lastPrinted>
  <dcterms:created xsi:type="dcterms:W3CDTF">2015-09-21T14:11:00Z</dcterms:created>
  <dcterms:modified xsi:type="dcterms:W3CDTF">2015-09-21T14:11:00Z</dcterms:modified>
</cp:coreProperties>
</file>