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416" w:rsidRPr="000F58D8" w:rsidRDefault="009E5416" w:rsidP="006C1712">
      <w:pPr>
        <w:spacing w:after="0" w:line="240" w:lineRule="auto"/>
        <w:jc w:val="both"/>
        <w:rPr>
          <w:rFonts w:ascii="Tahoma" w:hAnsi="Tahoma" w:cs="Tahoma"/>
          <w:b/>
          <w:color w:val="000000"/>
          <w:sz w:val="24"/>
          <w:szCs w:val="24"/>
        </w:rPr>
      </w:pPr>
      <w:r w:rsidRPr="000F58D8">
        <w:rPr>
          <w:rFonts w:ascii="Tahoma" w:hAnsi="Tahoma" w:cs="Tahoma"/>
          <w:b/>
          <w:color w:val="000000"/>
          <w:sz w:val="24"/>
          <w:szCs w:val="24"/>
        </w:rPr>
        <w:t xml:space="preserve">Didactique de </w:t>
      </w:r>
      <w:r w:rsidR="00F93D9C">
        <w:rPr>
          <w:rFonts w:ascii="Tahoma" w:hAnsi="Tahoma" w:cs="Tahoma"/>
          <w:b/>
          <w:color w:val="000000"/>
          <w:sz w:val="24"/>
          <w:szCs w:val="24"/>
        </w:rPr>
        <w:t xml:space="preserve">l’instrument </w:t>
      </w:r>
      <w:r w:rsidRPr="000F58D8">
        <w:rPr>
          <w:rFonts w:ascii="Tahoma" w:hAnsi="Tahoma" w:cs="Tahoma"/>
          <w:b/>
          <w:color w:val="000000"/>
          <w:sz w:val="24"/>
          <w:szCs w:val="24"/>
        </w:rPr>
        <w:t xml:space="preserve">et professionnalisation. Analyse didactique d’un dispositif de formation triadique (formateur-étudiant-élève) dans l’enseignement du piano (HEM de Genève) </w:t>
      </w:r>
    </w:p>
    <w:p w:rsidR="009E5416" w:rsidRPr="000F58D8" w:rsidRDefault="009E5416" w:rsidP="006C1712">
      <w:pPr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</w:p>
    <w:p w:rsidR="002701D8" w:rsidRDefault="002701D8" w:rsidP="002701D8">
      <w:pPr>
        <w:spacing w:after="0" w:line="240" w:lineRule="auto"/>
        <w:ind w:left="1416" w:firstLine="708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Stefan Bodea &amp; Gaël Thivolle, Université de Genève, équipe DAM</w:t>
      </w:r>
    </w:p>
    <w:p w:rsidR="002701D8" w:rsidRPr="000F58D8" w:rsidRDefault="002701D8" w:rsidP="006C1712">
      <w:pPr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</w:p>
    <w:p w:rsidR="002701D8" w:rsidRPr="000F58D8" w:rsidRDefault="002701D8" w:rsidP="002701D8">
      <w:pPr>
        <w:spacing w:after="0" w:line="240" w:lineRule="auto"/>
        <w:jc w:val="both"/>
        <w:rPr>
          <w:rFonts w:ascii="Tahoma" w:hAnsi="Tahoma" w:cs="Tahoma"/>
          <w:i/>
          <w:color w:val="000000"/>
          <w:sz w:val="24"/>
          <w:szCs w:val="24"/>
        </w:rPr>
      </w:pPr>
      <w:r w:rsidRPr="000F58D8">
        <w:rPr>
          <w:rFonts w:ascii="Tahoma" w:hAnsi="Tahoma" w:cs="Tahoma"/>
          <w:b/>
          <w:color w:val="000000"/>
          <w:sz w:val="24"/>
          <w:szCs w:val="24"/>
        </w:rPr>
        <w:t>Mots-clés</w:t>
      </w:r>
      <w:r w:rsidRPr="000F58D8">
        <w:rPr>
          <w:rFonts w:ascii="Tahoma" w:hAnsi="Tahoma" w:cs="Tahoma"/>
          <w:color w:val="000000"/>
          <w:sz w:val="24"/>
          <w:szCs w:val="24"/>
        </w:rPr>
        <w:t xml:space="preserve"> : </w:t>
      </w:r>
      <w:r w:rsidRPr="000F58D8">
        <w:rPr>
          <w:rFonts w:ascii="Tahoma" w:hAnsi="Tahoma" w:cs="Tahoma"/>
          <w:i/>
          <w:color w:val="000000"/>
          <w:sz w:val="24"/>
          <w:szCs w:val="24"/>
        </w:rPr>
        <w:t xml:space="preserve">micro-enseignement, logique d’action, gestes de définition, corps technique, professionnalisation </w:t>
      </w:r>
    </w:p>
    <w:p w:rsidR="002701D8" w:rsidRDefault="002701D8" w:rsidP="006C1712">
      <w:pPr>
        <w:spacing w:after="0" w:line="240" w:lineRule="auto"/>
        <w:jc w:val="both"/>
        <w:rPr>
          <w:rFonts w:ascii="Tahoma" w:hAnsi="Tahoma" w:cs="Tahoma"/>
          <w:b/>
          <w:color w:val="000000"/>
          <w:sz w:val="24"/>
          <w:szCs w:val="24"/>
        </w:rPr>
      </w:pPr>
    </w:p>
    <w:p w:rsidR="001E3A0B" w:rsidRPr="000F58D8" w:rsidRDefault="001E3A0B" w:rsidP="006C1712">
      <w:pPr>
        <w:spacing w:after="0" w:line="240" w:lineRule="auto"/>
        <w:jc w:val="both"/>
        <w:rPr>
          <w:rFonts w:ascii="Tahoma" w:hAnsi="Tahoma" w:cs="Tahoma"/>
          <w:b/>
          <w:color w:val="000000"/>
          <w:sz w:val="24"/>
          <w:szCs w:val="24"/>
        </w:rPr>
      </w:pPr>
      <w:r w:rsidRPr="000F58D8">
        <w:rPr>
          <w:rFonts w:ascii="Tahoma" w:hAnsi="Tahoma" w:cs="Tahoma"/>
          <w:b/>
          <w:color w:val="000000"/>
          <w:sz w:val="24"/>
          <w:szCs w:val="24"/>
        </w:rPr>
        <w:t>Résumé</w:t>
      </w:r>
    </w:p>
    <w:p w:rsidR="001E3A0B" w:rsidRPr="000F58D8" w:rsidRDefault="001E3A0B" w:rsidP="006C1712">
      <w:pPr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</w:p>
    <w:p w:rsidR="00D25B5E" w:rsidRDefault="00127CB2" w:rsidP="006C1712">
      <w:pPr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En partant d’une</w:t>
      </w:r>
      <w:r w:rsidR="006C1712" w:rsidRPr="000F58D8">
        <w:rPr>
          <w:rFonts w:ascii="Tahoma" w:hAnsi="Tahoma" w:cs="Tahoma"/>
          <w:color w:val="000000"/>
          <w:sz w:val="24"/>
          <w:szCs w:val="24"/>
        </w:rPr>
        <w:t xml:space="preserve"> spécificité praxéologique d'une formatrice dans l</w:t>
      </w:r>
      <w:r w:rsidR="009E3019">
        <w:rPr>
          <w:rFonts w:ascii="Tahoma" w:hAnsi="Tahoma" w:cs="Tahoma"/>
          <w:color w:val="000000"/>
          <w:sz w:val="24"/>
          <w:szCs w:val="24"/>
        </w:rPr>
        <w:t>'enseignement du piano (i.e.</w:t>
      </w:r>
      <w:r w:rsidR="006C1712" w:rsidRPr="000F58D8">
        <w:rPr>
          <w:rFonts w:ascii="Tahoma" w:hAnsi="Tahoma" w:cs="Tahoma"/>
          <w:color w:val="000000"/>
          <w:sz w:val="24"/>
          <w:szCs w:val="24"/>
        </w:rPr>
        <w:t xml:space="preserve"> le recours à des micro-enseignements ponctuels d'étudiants assistant</w:t>
      </w:r>
      <w:r w:rsidR="006C1712" w:rsidRPr="000F58D8">
        <w:rPr>
          <w:rFonts w:ascii="Tahoma" w:hAnsi="Tahoma" w:cs="Tahoma"/>
          <w:color w:val="000000"/>
          <w:sz w:val="24"/>
          <w:szCs w:val="24"/>
        </w:rPr>
        <w:t xml:space="preserve"> à la leçon de leur collègue), nous nous proposons</w:t>
      </w:r>
      <w:r w:rsidR="006C1712" w:rsidRPr="000F58D8">
        <w:rPr>
          <w:rFonts w:ascii="Tahoma" w:hAnsi="Tahoma" w:cs="Tahoma"/>
          <w:color w:val="000000"/>
          <w:sz w:val="24"/>
          <w:szCs w:val="24"/>
        </w:rPr>
        <w:t xml:space="preserve"> d’analyser les </w:t>
      </w:r>
      <w:r w:rsidR="001E3A0B" w:rsidRPr="000F58D8">
        <w:rPr>
          <w:rFonts w:ascii="Tahoma" w:hAnsi="Tahoma" w:cs="Tahoma"/>
          <w:color w:val="000000"/>
          <w:sz w:val="24"/>
          <w:szCs w:val="24"/>
        </w:rPr>
        <w:t xml:space="preserve">enjeux </w:t>
      </w:r>
      <w:r w:rsidR="00D25B5E" w:rsidRPr="000F58D8">
        <w:rPr>
          <w:rFonts w:ascii="Tahoma" w:hAnsi="Tahoma" w:cs="Tahoma"/>
          <w:color w:val="000000"/>
          <w:sz w:val="24"/>
          <w:szCs w:val="24"/>
        </w:rPr>
        <w:t>didactiques</w:t>
      </w:r>
      <w:r w:rsidR="00D25B5E" w:rsidRPr="000F58D8">
        <w:rPr>
          <w:rFonts w:ascii="Tahoma" w:hAnsi="Tahoma" w:cs="Tahoma"/>
          <w:color w:val="000000"/>
          <w:sz w:val="24"/>
          <w:szCs w:val="24"/>
        </w:rPr>
        <w:t xml:space="preserve"> </w:t>
      </w:r>
      <w:r w:rsidR="000F58D8" w:rsidRPr="000F58D8">
        <w:rPr>
          <w:rFonts w:ascii="Tahoma" w:hAnsi="Tahoma" w:cs="Tahoma"/>
          <w:color w:val="000000"/>
          <w:sz w:val="24"/>
          <w:szCs w:val="24"/>
        </w:rPr>
        <w:t>de son dispositif</w:t>
      </w:r>
      <w:r w:rsidR="000F58D8" w:rsidRPr="000F58D8">
        <w:rPr>
          <w:rFonts w:ascii="Tahoma" w:hAnsi="Tahoma" w:cs="Tahoma"/>
          <w:color w:val="000000"/>
          <w:sz w:val="24"/>
          <w:szCs w:val="24"/>
        </w:rPr>
        <w:t xml:space="preserve"> et </w:t>
      </w:r>
      <w:r w:rsidR="00D25B5E">
        <w:rPr>
          <w:rFonts w:ascii="Tahoma" w:hAnsi="Tahoma" w:cs="Tahoma"/>
          <w:color w:val="000000"/>
          <w:sz w:val="24"/>
          <w:szCs w:val="24"/>
        </w:rPr>
        <w:t>s</w:t>
      </w:r>
      <w:r w:rsidR="000F58D8" w:rsidRPr="000F58D8">
        <w:rPr>
          <w:rFonts w:ascii="Tahoma" w:hAnsi="Tahoma" w:cs="Tahoma"/>
          <w:color w:val="000000"/>
          <w:sz w:val="24"/>
          <w:szCs w:val="24"/>
        </w:rPr>
        <w:t>es incidences au plan de la professionnalisation</w:t>
      </w:r>
      <w:r w:rsidR="00D25B5E">
        <w:rPr>
          <w:rFonts w:ascii="Tahoma" w:hAnsi="Tahoma" w:cs="Tahoma"/>
          <w:color w:val="000000"/>
          <w:sz w:val="24"/>
          <w:szCs w:val="24"/>
        </w:rPr>
        <w:t xml:space="preserve"> des formés</w:t>
      </w:r>
      <w:r w:rsidR="000F58D8" w:rsidRPr="000F58D8">
        <w:rPr>
          <w:rFonts w:ascii="Tahoma" w:hAnsi="Tahoma" w:cs="Tahoma"/>
          <w:color w:val="000000"/>
          <w:sz w:val="24"/>
          <w:szCs w:val="24"/>
        </w:rPr>
        <w:t xml:space="preserve">. </w:t>
      </w:r>
    </w:p>
    <w:p w:rsidR="006C1712" w:rsidRPr="000F58D8" w:rsidRDefault="000F58D8" w:rsidP="006C1712">
      <w:pPr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0F58D8">
        <w:rPr>
          <w:rFonts w:ascii="Tahoma" w:hAnsi="Tahoma" w:cs="Tahoma"/>
          <w:color w:val="000000"/>
          <w:sz w:val="24"/>
          <w:szCs w:val="24"/>
        </w:rPr>
        <w:t>En nous focalisant sur l’</w:t>
      </w:r>
      <w:r w:rsidR="00D25B5E">
        <w:rPr>
          <w:rFonts w:ascii="Tahoma" w:hAnsi="Tahoma" w:cs="Tahoma"/>
          <w:color w:val="000000"/>
          <w:sz w:val="24"/>
          <w:szCs w:val="24"/>
        </w:rPr>
        <w:t xml:space="preserve">action des étudiants (notamment sur les différents modes de </w:t>
      </w:r>
      <w:r w:rsidR="00D25B5E" w:rsidRPr="008366B8">
        <w:rPr>
          <w:rFonts w:ascii="Tahoma" w:hAnsi="Tahoma" w:cs="Tahoma"/>
          <w:i/>
          <w:color w:val="000000"/>
          <w:sz w:val="24"/>
          <w:szCs w:val="24"/>
        </w:rPr>
        <w:t>définition</w:t>
      </w:r>
      <w:r w:rsidR="00D25B5E">
        <w:rPr>
          <w:rFonts w:ascii="Tahoma" w:hAnsi="Tahoma" w:cs="Tahoma"/>
          <w:color w:val="000000"/>
          <w:sz w:val="24"/>
          <w:szCs w:val="24"/>
        </w:rPr>
        <w:t>, considérées dans leur</w:t>
      </w:r>
      <w:r w:rsidR="008366B8">
        <w:rPr>
          <w:rFonts w:ascii="Tahoma" w:hAnsi="Tahoma" w:cs="Tahoma"/>
          <w:color w:val="000000"/>
          <w:sz w:val="24"/>
          <w:szCs w:val="24"/>
        </w:rPr>
        <w:t>s</w:t>
      </w:r>
      <w:r w:rsidR="00D25B5E">
        <w:rPr>
          <w:rFonts w:ascii="Tahoma" w:hAnsi="Tahoma" w:cs="Tahoma"/>
          <w:color w:val="000000"/>
          <w:sz w:val="24"/>
          <w:szCs w:val="24"/>
        </w:rPr>
        <w:t xml:space="preserve"> régime</w:t>
      </w:r>
      <w:r w:rsidR="008366B8">
        <w:rPr>
          <w:rFonts w:ascii="Tahoma" w:hAnsi="Tahoma" w:cs="Tahoma"/>
          <w:color w:val="000000"/>
          <w:sz w:val="24"/>
          <w:szCs w:val="24"/>
        </w:rPr>
        <w:t>s</w:t>
      </w:r>
      <w:r w:rsidR="00D25B5E">
        <w:rPr>
          <w:rFonts w:ascii="Tahoma" w:hAnsi="Tahoma" w:cs="Tahoma"/>
          <w:color w:val="000000"/>
          <w:sz w:val="24"/>
          <w:szCs w:val="24"/>
        </w:rPr>
        <w:t xml:space="preserve"> sémiotique</w:t>
      </w:r>
      <w:r w:rsidR="008366B8">
        <w:rPr>
          <w:rFonts w:ascii="Tahoma" w:hAnsi="Tahoma" w:cs="Tahoma"/>
          <w:color w:val="000000"/>
          <w:sz w:val="24"/>
          <w:szCs w:val="24"/>
        </w:rPr>
        <w:t>s</w:t>
      </w:r>
      <w:r w:rsidR="00E873E1">
        <w:rPr>
          <w:rFonts w:ascii="Tahoma" w:hAnsi="Tahoma" w:cs="Tahoma"/>
          <w:color w:val="000000"/>
          <w:sz w:val="24"/>
          <w:szCs w:val="24"/>
        </w:rPr>
        <w:t xml:space="preserve"> variés</w:t>
      </w:r>
      <w:r w:rsidR="00D25B5E">
        <w:rPr>
          <w:rFonts w:ascii="Tahoma" w:hAnsi="Tahoma" w:cs="Tahoma"/>
          <w:color w:val="000000"/>
          <w:sz w:val="24"/>
          <w:szCs w:val="24"/>
        </w:rPr>
        <w:t>)</w:t>
      </w:r>
      <w:r w:rsidRPr="000F58D8">
        <w:rPr>
          <w:rFonts w:ascii="Tahoma" w:hAnsi="Tahoma" w:cs="Tahoma"/>
          <w:color w:val="000000"/>
          <w:sz w:val="24"/>
          <w:szCs w:val="24"/>
        </w:rPr>
        <w:t>, nous analysons</w:t>
      </w:r>
      <w:r w:rsidR="00D25B5E">
        <w:rPr>
          <w:rFonts w:ascii="Tahoma" w:hAnsi="Tahoma" w:cs="Tahoma"/>
          <w:color w:val="000000"/>
          <w:sz w:val="24"/>
          <w:szCs w:val="24"/>
        </w:rPr>
        <w:t>,</w:t>
      </w:r>
      <w:r w:rsidRPr="000F58D8">
        <w:rPr>
          <w:rFonts w:ascii="Tahoma" w:hAnsi="Tahoma" w:cs="Tahoma"/>
          <w:color w:val="000000"/>
          <w:sz w:val="24"/>
          <w:szCs w:val="24"/>
        </w:rPr>
        <w:t xml:space="preserve"> d</w:t>
      </w:r>
      <w:r w:rsidRPr="000F58D8">
        <w:rPr>
          <w:rFonts w:ascii="Tahoma" w:hAnsi="Tahoma" w:cs="Tahoma"/>
          <w:color w:val="000000"/>
          <w:sz w:val="24"/>
          <w:szCs w:val="24"/>
        </w:rPr>
        <w:t xml:space="preserve">ans un premier temps, </w:t>
      </w:r>
      <w:r w:rsidRPr="000F58D8">
        <w:rPr>
          <w:rFonts w:ascii="Tahoma" w:hAnsi="Tahoma" w:cs="Tahoma"/>
          <w:color w:val="000000"/>
          <w:sz w:val="24"/>
          <w:szCs w:val="24"/>
        </w:rPr>
        <w:t xml:space="preserve">le format didactique </w:t>
      </w:r>
      <w:r w:rsidR="00D25B5E">
        <w:rPr>
          <w:rFonts w:ascii="Tahoma" w:hAnsi="Tahoma" w:cs="Tahoma"/>
          <w:color w:val="000000"/>
          <w:sz w:val="24"/>
          <w:szCs w:val="24"/>
        </w:rPr>
        <w:t>de leurs prestations</w:t>
      </w:r>
      <w:r w:rsidRPr="000F58D8">
        <w:rPr>
          <w:rFonts w:ascii="Tahoma" w:hAnsi="Tahoma" w:cs="Tahoma"/>
          <w:color w:val="000000"/>
          <w:sz w:val="24"/>
          <w:szCs w:val="24"/>
        </w:rPr>
        <w:t>, dans une approche clinique comparative (Leutenegger, 2009)</w:t>
      </w:r>
      <w:r w:rsidR="006A08D5">
        <w:rPr>
          <w:rFonts w:ascii="Tahoma" w:hAnsi="Tahoma" w:cs="Tahoma"/>
          <w:color w:val="000000"/>
          <w:sz w:val="24"/>
          <w:szCs w:val="24"/>
        </w:rPr>
        <w:t xml:space="preserve"> et située (Chatel, 2002)</w:t>
      </w:r>
      <w:r w:rsidR="00D25B5E">
        <w:rPr>
          <w:rFonts w:ascii="Tahoma" w:hAnsi="Tahoma" w:cs="Tahoma"/>
          <w:color w:val="000000"/>
          <w:sz w:val="24"/>
          <w:szCs w:val="24"/>
        </w:rPr>
        <w:t xml:space="preserve">. Cette analyse est effectuée en lien avec les actions de la formatrice relatives aux enseignements observés. </w:t>
      </w:r>
      <w:r w:rsidR="008366B8">
        <w:rPr>
          <w:rFonts w:ascii="Tahoma" w:hAnsi="Tahoma" w:cs="Tahoma"/>
          <w:color w:val="000000"/>
          <w:sz w:val="24"/>
          <w:szCs w:val="24"/>
        </w:rPr>
        <w:t>Nous abordons ensuite c</w:t>
      </w:r>
      <w:r w:rsidR="00D25B5E">
        <w:rPr>
          <w:rFonts w:ascii="Tahoma" w:hAnsi="Tahoma" w:cs="Tahoma"/>
          <w:color w:val="000000"/>
          <w:sz w:val="24"/>
          <w:szCs w:val="24"/>
        </w:rPr>
        <w:t>es actions</w:t>
      </w:r>
      <w:r w:rsidR="008366B8">
        <w:rPr>
          <w:rFonts w:ascii="Tahoma" w:hAnsi="Tahoma" w:cs="Tahoma"/>
          <w:color w:val="000000"/>
          <w:sz w:val="24"/>
          <w:szCs w:val="24"/>
        </w:rPr>
        <w:t>,</w:t>
      </w:r>
      <w:r w:rsidR="00D25B5E">
        <w:rPr>
          <w:rFonts w:ascii="Tahoma" w:hAnsi="Tahoma" w:cs="Tahoma"/>
          <w:color w:val="000000"/>
          <w:sz w:val="24"/>
          <w:szCs w:val="24"/>
        </w:rPr>
        <w:t xml:space="preserve"> non seulement celles qui encadrent les enseignements de ses étudiants</w:t>
      </w:r>
      <w:r w:rsidR="008366B8">
        <w:rPr>
          <w:rFonts w:ascii="Tahoma" w:hAnsi="Tahoma" w:cs="Tahoma"/>
          <w:color w:val="000000"/>
          <w:sz w:val="24"/>
          <w:szCs w:val="24"/>
        </w:rPr>
        <w:t>,</w:t>
      </w:r>
      <w:r w:rsidR="00D25B5E">
        <w:rPr>
          <w:rFonts w:ascii="Tahoma" w:hAnsi="Tahoma" w:cs="Tahoma"/>
          <w:color w:val="000000"/>
          <w:sz w:val="24"/>
          <w:szCs w:val="24"/>
        </w:rPr>
        <w:t xml:space="preserve"> mais aussi celles déployées dans </w:t>
      </w:r>
      <w:r w:rsidR="00B211C6">
        <w:rPr>
          <w:rFonts w:ascii="Tahoma" w:hAnsi="Tahoma" w:cs="Tahoma"/>
          <w:color w:val="000000"/>
          <w:sz w:val="24"/>
          <w:szCs w:val="24"/>
        </w:rPr>
        <w:t xml:space="preserve">le cadre des </w:t>
      </w:r>
      <w:r w:rsidR="00D25B5E">
        <w:rPr>
          <w:rFonts w:ascii="Tahoma" w:hAnsi="Tahoma" w:cs="Tahoma"/>
          <w:color w:val="000000"/>
          <w:sz w:val="24"/>
          <w:szCs w:val="24"/>
        </w:rPr>
        <w:t>différent</w:t>
      </w:r>
      <w:r w:rsidR="00B211C6">
        <w:rPr>
          <w:rFonts w:ascii="Tahoma" w:hAnsi="Tahoma" w:cs="Tahoma"/>
          <w:color w:val="000000"/>
          <w:sz w:val="24"/>
          <w:szCs w:val="24"/>
        </w:rPr>
        <w:t>e</w:t>
      </w:r>
      <w:r w:rsidR="00D25B5E">
        <w:rPr>
          <w:rFonts w:ascii="Tahoma" w:hAnsi="Tahoma" w:cs="Tahoma"/>
          <w:color w:val="000000"/>
          <w:sz w:val="24"/>
          <w:szCs w:val="24"/>
        </w:rPr>
        <w:t xml:space="preserve">s </w:t>
      </w:r>
      <w:r w:rsidR="00B211C6">
        <w:rPr>
          <w:rFonts w:ascii="Tahoma" w:hAnsi="Tahoma" w:cs="Tahoma"/>
          <w:color w:val="000000"/>
          <w:sz w:val="24"/>
          <w:szCs w:val="24"/>
        </w:rPr>
        <w:t>séances de cours collectifs, afin d’en dégager les constantes.</w:t>
      </w:r>
    </w:p>
    <w:p w:rsidR="001E3A0B" w:rsidRPr="000F58D8" w:rsidRDefault="00B211C6" w:rsidP="001E3A0B">
      <w:pPr>
        <w:pStyle w:val="Sansinterligne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Nos</w:t>
      </w:r>
      <w:r w:rsidR="001E3A0B" w:rsidRPr="000F58D8">
        <w:rPr>
          <w:rFonts w:ascii="Tahoma" w:hAnsi="Tahoma" w:cs="Tahoma"/>
          <w:sz w:val="24"/>
          <w:szCs w:val="24"/>
        </w:rPr>
        <w:t xml:space="preserve"> </w:t>
      </w:r>
      <w:r w:rsidR="001E3A0B" w:rsidRPr="000F58D8">
        <w:rPr>
          <w:rFonts w:ascii="Tahoma" w:hAnsi="Tahoma" w:cs="Tahoma"/>
          <w:sz w:val="24"/>
          <w:szCs w:val="24"/>
        </w:rPr>
        <w:t>analyse</w:t>
      </w:r>
      <w:r>
        <w:rPr>
          <w:rFonts w:ascii="Tahoma" w:hAnsi="Tahoma" w:cs="Tahoma"/>
          <w:sz w:val="24"/>
          <w:szCs w:val="24"/>
        </w:rPr>
        <w:t>s</w:t>
      </w:r>
      <w:r w:rsidR="001E3A0B" w:rsidRPr="000F58D8">
        <w:rPr>
          <w:rFonts w:ascii="Tahoma" w:hAnsi="Tahoma" w:cs="Tahoma"/>
          <w:sz w:val="24"/>
          <w:szCs w:val="24"/>
        </w:rPr>
        <w:t xml:space="preserve"> </w:t>
      </w:r>
      <w:r w:rsidR="001E3A0B" w:rsidRPr="000F58D8">
        <w:rPr>
          <w:rFonts w:ascii="Tahoma" w:hAnsi="Tahoma" w:cs="Tahoma"/>
          <w:sz w:val="24"/>
          <w:szCs w:val="24"/>
        </w:rPr>
        <w:t>nous permet</w:t>
      </w:r>
      <w:r>
        <w:rPr>
          <w:rFonts w:ascii="Tahoma" w:hAnsi="Tahoma" w:cs="Tahoma"/>
          <w:sz w:val="24"/>
          <w:szCs w:val="24"/>
        </w:rPr>
        <w:t>tent</w:t>
      </w:r>
      <w:r w:rsidR="001E3A0B" w:rsidRPr="000F58D8">
        <w:rPr>
          <w:rFonts w:ascii="Tahoma" w:hAnsi="Tahoma" w:cs="Tahoma"/>
          <w:sz w:val="24"/>
          <w:szCs w:val="24"/>
        </w:rPr>
        <w:t xml:space="preserve"> de pointer</w:t>
      </w:r>
      <w:r>
        <w:rPr>
          <w:rFonts w:ascii="Tahoma" w:hAnsi="Tahoma" w:cs="Tahoma"/>
          <w:sz w:val="24"/>
          <w:szCs w:val="24"/>
        </w:rPr>
        <w:t>, d’une part,</w:t>
      </w:r>
      <w:r w:rsidR="001E3A0B" w:rsidRPr="000F58D8">
        <w:rPr>
          <w:rFonts w:ascii="Tahoma" w:hAnsi="Tahoma" w:cs="Tahoma"/>
          <w:sz w:val="24"/>
          <w:szCs w:val="24"/>
        </w:rPr>
        <w:t xml:space="preserve"> des clivages marqués entre les </w:t>
      </w:r>
      <w:r w:rsidR="008366B8">
        <w:rPr>
          <w:rFonts w:ascii="Tahoma" w:hAnsi="Tahoma" w:cs="Tahoma"/>
          <w:sz w:val="24"/>
          <w:szCs w:val="24"/>
        </w:rPr>
        <w:t xml:space="preserve">formats didactiques des </w:t>
      </w:r>
      <w:r w:rsidR="00455DBE">
        <w:rPr>
          <w:rFonts w:ascii="Tahoma" w:hAnsi="Tahoma" w:cs="Tahoma"/>
          <w:sz w:val="24"/>
          <w:szCs w:val="24"/>
        </w:rPr>
        <w:t>enseignement</w:t>
      </w:r>
      <w:r w:rsidR="008366B8">
        <w:rPr>
          <w:rFonts w:ascii="Tahoma" w:hAnsi="Tahoma" w:cs="Tahoma"/>
          <w:sz w:val="24"/>
          <w:szCs w:val="24"/>
        </w:rPr>
        <w:t>s dispensés par l</w:t>
      </w:r>
      <w:r w:rsidR="00455DBE">
        <w:rPr>
          <w:rFonts w:ascii="Tahoma" w:hAnsi="Tahoma" w:cs="Tahoma"/>
          <w:sz w:val="24"/>
          <w:szCs w:val="24"/>
        </w:rPr>
        <w:t>es étudiants et partant</w:t>
      </w:r>
      <w:r w:rsidR="009E3019">
        <w:rPr>
          <w:rFonts w:ascii="Tahoma" w:hAnsi="Tahoma" w:cs="Tahoma"/>
          <w:sz w:val="24"/>
          <w:szCs w:val="24"/>
        </w:rPr>
        <w:t>,</w:t>
      </w:r>
      <w:r w:rsidR="00455DBE">
        <w:rPr>
          <w:rFonts w:ascii="Tahoma" w:hAnsi="Tahoma" w:cs="Tahoma"/>
          <w:sz w:val="24"/>
          <w:szCs w:val="24"/>
        </w:rPr>
        <w:t xml:space="preserve"> entre les </w:t>
      </w:r>
      <w:r w:rsidR="001E3A0B" w:rsidRPr="000F58D8">
        <w:rPr>
          <w:rFonts w:ascii="Tahoma" w:hAnsi="Tahoma" w:cs="Tahoma"/>
          <w:sz w:val="24"/>
          <w:szCs w:val="24"/>
        </w:rPr>
        <w:t xml:space="preserve">degrés de professionnalisation </w:t>
      </w:r>
      <w:r w:rsidR="00455DBE">
        <w:rPr>
          <w:rFonts w:ascii="Tahoma" w:hAnsi="Tahoma" w:cs="Tahoma"/>
          <w:sz w:val="24"/>
          <w:szCs w:val="24"/>
        </w:rPr>
        <w:t>de ceux-ci</w:t>
      </w:r>
      <w:r>
        <w:rPr>
          <w:rFonts w:ascii="Tahoma" w:hAnsi="Tahoma" w:cs="Tahoma"/>
          <w:sz w:val="24"/>
          <w:szCs w:val="24"/>
        </w:rPr>
        <w:t xml:space="preserve">; d’autre part, </w:t>
      </w:r>
      <w:r w:rsidR="00455DBE">
        <w:rPr>
          <w:rFonts w:ascii="Tahoma" w:hAnsi="Tahoma" w:cs="Tahoma"/>
          <w:sz w:val="24"/>
          <w:szCs w:val="24"/>
        </w:rPr>
        <w:t xml:space="preserve">elles </w:t>
      </w:r>
      <w:r w:rsidR="009E3019">
        <w:rPr>
          <w:rFonts w:ascii="Tahoma" w:hAnsi="Tahoma" w:cs="Tahoma"/>
          <w:sz w:val="24"/>
          <w:szCs w:val="24"/>
        </w:rPr>
        <w:t xml:space="preserve">font émerger </w:t>
      </w:r>
      <w:r w:rsidR="007046FC">
        <w:rPr>
          <w:rFonts w:ascii="Tahoma" w:hAnsi="Tahoma" w:cs="Tahoma"/>
          <w:sz w:val="24"/>
          <w:szCs w:val="24"/>
        </w:rPr>
        <w:t>un modèle de formation mettant en avant la construction chez l’élève d’une corporéité technique adapté</w:t>
      </w:r>
      <w:r w:rsidR="00E873E1">
        <w:rPr>
          <w:rFonts w:ascii="Tahoma" w:hAnsi="Tahoma" w:cs="Tahoma"/>
          <w:sz w:val="24"/>
          <w:szCs w:val="24"/>
        </w:rPr>
        <w:t>e</w:t>
      </w:r>
      <w:r w:rsidR="007046FC">
        <w:rPr>
          <w:rFonts w:ascii="Tahoma" w:hAnsi="Tahoma" w:cs="Tahoma"/>
          <w:sz w:val="24"/>
          <w:szCs w:val="24"/>
        </w:rPr>
        <w:t xml:space="preserve"> à ses difficultés et en lien avec les propriétés de l’œuvre. </w:t>
      </w:r>
    </w:p>
    <w:p w:rsidR="008A46E7" w:rsidRPr="000F58D8" w:rsidRDefault="008A46E7" w:rsidP="006C1712">
      <w:pPr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</w:p>
    <w:p w:rsidR="008A46E7" w:rsidRPr="000F58D8" w:rsidRDefault="008A46E7" w:rsidP="008A46E7">
      <w:pPr>
        <w:pStyle w:val="Sansinterligne"/>
        <w:jc w:val="both"/>
        <w:rPr>
          <w:rFonts w:ascii="Tahoma" w:hAnsi="Tahoma" w:cs="Tahoma"/>
          <w:b/>
          <w:sz w:val="24"/>
          <w:szCs w:val="24"/>
        </w:rPr>
      </w:pPr>
      <w:r w:rsidRPr="000F58D8">
        <w:rPr>
          <w:rFonts w:ascii="Tahoma" w:hAnsi="Tahoma" w:cs="Tahoma"/>
          <w:sz w:val="24"/>
          <w:szCs w:val="24"/>
        </w:rPr>
        <w:t>-</w:t>
      </w:r>
      <w:r w:rsidRPr="000F58D8">
        <w:rPr>
          <w:rFonts w:ascii="Tahoma" w:hAnsi="Tahoma" w:cs="Tahoma"/>
          <w:b/>
          <w:sz w:val="24"/>
          <w:szCs w:val="24"/>
        </w:rPr>
        <w:t>Abstract</w:t>
      </w:r>
    </w:p>
    <w:p w:rsidR="008A46E7" w:rsidRPr="000F58D8" w:rsidRDefault="008A46E7" w:rsidP="008A46E7">
      <w:pPr>
        <w:pStyle w:val="Sansinterligne"/>
        <w:jc w:val="both"/>
        <w:rPr>
          <w:rFonts w:ascii="Tahoma" w:hAnsi="Tahoma" w:cs="Tahoma"/>
          <w:b/>
          <w:sz w:val="24"/>
          <w:szCs w:val="24"/>
        </w:rPr>
      </w:pPr>
    </w:p>
    <w:p w:rsidR="008A46E7" w:rsidRPr="000F58D8" w:rsidRDefault="008A46E7" w:rsidP="008A46E7">
      <w:pPr>
        <w:pStyle w:val="Sansinterligne"/>
        <w:jc w:val="both"/>
        <w:rPr>
          <w:rFonts w:ascii="Tahoma" w:hAnsi="Tahoma" w:cs="Tahoma"/>
          <w:sz w:val="24"/>
          <w:szCs w:val="24"/>
        </w:rPr>
      </w:pPr>
      <w:r w:rsidRPr="000F58D8">
        <w:rPr>
          <w:rFonts w:ascii="Tahoma" w:hAnsi="Tahoma" w:cs="Tahoma"/>
          <w:sz w:val="24"/>
          <w:szCs w:val="24"/>
        </w:rPr>
        <w:t>Nous nous penchons</w:t>
      </w:r>
      <w:r w:rsidRPr="000F58D8">
        <w:rPr>
          <w:rFonts w:ascii="Tahoma" w:hAnsi="Tahoma" w:cs="Tahoma"/>
          <w:sz w:val="24"/>
          <w:szCs w:val="24"/>
        </w:rPr>
        <w:t xml:space="preserve"> sur la spécificité didactique d’un dispositif de formation triadique (formateur-étudiant-élève) dans l’enseignement du piano, qui sollicite des interventions ponctuelles plurielles des étudiants. </w:t>
      </w:r>
    </w:p>
    <w:p w:rsidR="008A46E7" w:rsidRDefault="008A46E7" w:rsidP="008A46E7">
      <w:pPr>
        <w:pStyle w:val="Sansinterligne"/>
        <w:jc w:val="both"/>
        <w:rPr>
          <w:rFonts w:ascii="Tahoma" w:hAnsi="Tahoma" w:cs="Tahoma"/>
          <w:sz w:val="24"/>
          <w:szCs w:val="24"/>
        </w:rPr>
      </w:pPr>
      <w:r w:rsidRPr="006A363F">
        <w:rPr>
          <w:rFonts w:ascii="Tahoma" w:hAnsi="Tahoma" w:cs="Tahoma"/>
          <w:sz w:val="24"/>
          <w:szCs w:val="24"/>
        </w:rPr>
        <w:t>E</w:t>
      </w:r>
      <w:r w:rsidRPr="006A363F">
        <w:rPr>
          <w:rFonts w:ascii="Tahoma" w:hAnsi="Tahoma" w:cs="Tahoma"/>
          <w:sz w:val="24"/>
          <w:szCs w:val="24"/>
        </w:rPr>
        <w:t xml:space="preserve">n quoi </w:t>
      </w:r>
      <w:r w:rsidR="000D4236" w:rsidRPr="006A363F">
        <w:rPr>
          <w:rFonts w:ascii="Tahoma" w:hAnsi="Tahoma" w:cs="Tahoma"/>
          <w:sz w:val="24"/>
          <w:szCs w:val="24"/>
        </w:rPr>
        <w:t xml:space="preserve">les </w:t>
      </w:r>
      <w:r w:rsidRPr="006A363F">
        <w:rPr>
          <w:rFonts w:ascii="Tahoma" w:hAnsi="Tahoma" w:cs="Tahoma"/>
          <w:sz w:val="24"/>
          <w:szCs w:val="24"/>
        </w:rPr>
        <w:t xml:space="preserve">micro-enseignements </w:t>
      </w:r>
      <w:r w:rsidR="006A363F">
        <w:rPr>
          <w:rFonts w:ascii="Tahoma" w:hAnsi="Tahoma" w:cs="Tahoma"/>
          <w:sz w:val="24"/>
          <w:szCs w:val="24"/>
        </w:rPr>
        <w:t xml:space="preserve">sollicités par la formatrice </w:t>
      </w:r>
      <w:r w:rsidR="000D4236" w:rsidRPr="006A363F">
        <w:rPr>
          <w:rFonts w:ascii="Tahoma" w:hAnsi="Tahoma" w:cs="Tahoma"/>
          <w:sz w:val="24"/>
          <w:szCs w:val="24"/>
        </w:rPr>
        <w:t>rendent compte des enjeux liés à la professionnalisation des formés</w:t>
      </w:r>
      <w:r w:rsidRPr="006A363F">
        <w:rPr>
          <w:rFonts w:ascii="Tahoma" w:hAnsi="Tahoma" w:cs="Tahoma"/>
          <w:sz w:val="24"/>
          <w:szCs w:val="24"/>
        </w:rPr>
        <w:t> ? Quelles sont les principa</w:t>
      </w:r>
      <w:r w:rsidR="000D4236" w:rsidRPr="006A363F">
        <w:rPr>
          <w:rFonts w:ascii="Tahoma" w:hAnsi="Tahoma" w:cs="Tahoma"/>
          <w:sz w:val="24"/>
          <w:szCs w:val="24"/>
        </w:rPr>
        <w:t>les propriétés didactiques du</w:t>
      </w:r>
      <w:r w:rsidRPr="006A363F">
        <w:rPr>
          <w:rFonts w:ascii="Tahoma" w:hAnsi="Tahoma" w:cs="Tahoma"/>
          <w:sz w:val="24"/>
          <w:szCs w:val="24"/>
        </w:rPr>
        <w:t xml:space="preserve"> dispositif de formation </w:t>
      </w:r>
      <w:r w:rsidR="006A363F">
        <w:rPr>
          <w:rFonts w:ascii="Tahoma" w:hAnsi="Tahoma" w:cs="Tahoma"/>
          <w:sz w:val="24"/>
          <w:szCs w:val="24"/>
        </w:rPr>
        <w:t xml:space="preserve">mise en place par la formatrice </w:t>
      </w:r>
      <w:r w:rsidRPr="006A363F">
        <w:rPr>
          <w:rFonts w:ascii="Tahoma" w:hAnsi="Tahoma" w:cs="Tahoma"/>
          <w:sz w:val="24"/>
          <w:szCs w:val="24"/>
        </w:rPr>
        <w:t xml:space="preserve">? </w:t>
      </w:r>
      <w:r w:rsidR="006A363F">
        <w:rPr>
          <w:rFonts w:ascii="Tahoma" w:hAnsi="Tahoma" w:cs="Tahoma"/>
          <w:sz w:val="24"/>
          <w:szCs w:val="24"/>
        </w:rPr>
        <w:t>Comment s’articulent-elles aux attentes d’apprentissages qu’elle formule à l’</w:t>
      </w:r>
      <w:r w:rsidR="006A08D5">
        <w:rPr>
          <w:rFonts w:ascii="Tahoma" w:hAnsi="Tahoma" w:cs="Tahoma"/>
          <w:sz w:val="24"/>
          <w:szCs w:val="24"/>
        </w:rPr>
        <w:t>intention</w:t>
      </w:r>
      <w:r w:rsidR="006A363F">
        <w:rPr>
          <w:rFonts w:ascii="Tahoma" w:hAnsi="Tahoma" w:cs="Tahoma"/>
          <w:sz w:val="24"/>
          <w:szCs w:val="24"/>
        </w:rPr>
        <w:t xml:space="preserve"> des étudiants ?  </w:t>
      </w:r>
    </w:p>
    <w:p w:rsidR="006A363F" w:rsidRPr="006A363F" w:rsidRDefault="006A363F" w:rsidP="008A46E7">
      <w:pPr>
        <w:pStyle w:val="Sansinterligne"/>
        <w:jc w:val="both"/>
        <w:rPr>
          <w:rFonts w:ascii="Tahoma" w:hAnsi="Tahoma" w:cs="Tahoma"/>
          <w:sz w:val="24"/>
          <w:szCs w:val="24"/>
        </w:rPr>
      </w:pPr>
    </w:p>
    <w:p w:rsidR="008A46E7" w:rsidRPr="000F58D8" w:rsidRDefault="008A46E7" w:rsidP="008A46E7">
      <w:pPr>
        <w:pStyle w:val="Sansinterligne"/>
        <w:jc w:val="both"/>
        <w:rPr>
          <w:rFonts w:ascii="Tahoma" w:hAnsi="Tahoma" w:cs="Tahoma"/>
          <w:sz w:val="24"/>
          <w:szCs w:val="24"/>
        </w:rPr>
      </w:pPr>
      <w:r w:rsidRPr="000F58D8">
        <w:rPr>
          <w:rFonts w:ascii="Tahoma" w:hAnsi="Tahoma" w:cs="Tahoma"/>
          <w:sz w:val="24"/>
          <w:szCs w:val="24"/>
        </w:rPr>
        <w:t>La complexité des données empiriqu</w:t>
      </w:r>
      <w:r w:rsidRPr="000F58D8">
        <w:rPr>
          <w:rFonts w:ascii="Tahoma" w:hAnsi="Tahoma" w:cs="Tahoma"/>
          <w:sz w:val="24"/>
          <w:szCs w:val="24"/>
        </w:rPr>
        <w:t>es à traiter nous</w:t>
      </w:r>
      <w:r w:rsidRPr="000F58D8">
        <w:rPr>
          <w:rFonts w:ascii="Tahoma" w:hAnsi="Tahoma" w:cs="Tahoma"/>
          <w:sz w:val="24"/>
          <w:szCs w:val="24"/>
        </w:rPr>
        <w:t xml:space="preserve"> amène à l’élaboration d’un dispositif d’analyse qui articule :</w:t>
      </w:r>
    </w:p>
    <w:p w:rsidR="008A46E7" w:rsidRPr="000F58D8" w:rsidRDefault="008A46E7" w:rsidP="008A46E7">
      <w:pPr>
        <w:pStyle w:val="Sansinterligne"/>
        <w:ind w:firstLine="360"/>
        <w:jc w:val="both"/>
        <w:rPr>
          <w:rFonts w:ascii="Tahoma" w:hAnsi="Tahoma" w:cs="Tahoma"/>
          <w:sz w:val="24"/>
          <w:szCs w:val="24"/>
        </w:rPr>
      </w:pPr>
      <w:r w:rsidRPr="000F58D8">
        <w:rPr>
          <w:rFonts w:ascii="Tahoma" w:hAnsi="Tahoma" w:cs="Tahoma"/>
          <w:bCs/>
          <w:sz w:val="24"/>
          <w:szCs w:val="24"/>
        </w:rPr>
        <w:t xml:space="preserve">-types de savoirs privilégiés par les étudiants modes de transmission en termes d’actions d’enseignement </w:t>
      </w:r>
    </w:p>
    <w:p w:rsidR="008A46E7" w:rsidRPr="000F58D8" w:rsidRDefault="008A46E7" w:rsidP="008A46E7">
      <w:pPr>
        <w:pStyle w:val="Sansinterligne"/>
        <w:ind w:firstLine="360"/>
        <w:jc w:val="both"/>
        <w:rPr>
          <w:rFonts w:ascii="Tahoma" w:hAnsi="Tahoma" w:cs="Tahoma"/>
          <w:sz w:val="24"/>
          <w:szCs w:val="24"/>
        </w:rPr>
      </w:pPr>
      <w:r w:rsidRPr="000F58D8">
        <w:rPr>
          <w:rFonts w:ascii="Tahoma" w:hAnsi="Tahoma" w:cs="Tahoma"/>
          <w:bCs/>
          <w:sz w:val="24"/>
          <w:szCs w:val="24"/>
        </w:rPr>
        <w:t xml:space="preserve">-le rapport contrat didactique-milieu-stratégies d’enseignement </w:t>
      </w:r>
    </w:p>
    <w:p w:rsidR="008A46E7" w:rsidRPr="000F58D8" w:rsidRDefault="008A46E7" w:rsidP="008A46E7">
      <w:pPr>
        <w:pStyle w:val="Sansinterligne"/>
        <w:ind w:firstLine="360"/>
        <w:jc w:val="both"/>
        <w:rPr>
          <w:rFonts w:ascii="Tahoma" w:hAnsi="Tahoma" w:cs="Tahoma"/>
          <w:bCs/>
          <w:sz w:val="24"/>
          <w:szCs w:val="24"/>
        </w:rPr>
      </w:pPr>
      <w:r w:rsidRPr="000F58D8">
        <w:rPr>
          <w:rFonts w:ascii="Tahoma" w:hAnsi="Tahoma" w:cs="Tahoma"/>
          <w:bCs/>
          <w:sz w:val="24"/>
          <w:szCs w:val="24"/>
        </w:rPr>
        <w:t xml:space="preserve">-registres sémiotiques de l’action conjointe </w:t>
      </w:r>
    </w:p>
    <w:p w:rsidR="008A46E7" w:rsidRPr="000F58D8" w:rsidRDefault="008A46E7" w:rsidP="008A46E7">
      <w:pPr>
        <w:pStyle w:val="Sansinterligne"/>
        <w:ind w:firstLine="360"/>
        <w:jc w:val="both"/>
        <w:rPr>
          <w:rFonts w:ascii="Tahoma" w:hAnsi="Tahoma" w:cs="Tahoma"/>
          <w:sz w:val="24"/>
          <w:szCs w:val="24"/>
        </w:rPr>
      </w:pPr>
      <w:r w:rsidRPr="000F58D8">
        <w:rPr>
          <w:rFonts w:ascii="Tahoma" w:hAnsi="Tahoma" w:cs="Tahoma"/>
          <w:bCs/>
          <w:sz w:val="24"/>
          <w:szCs w:val="24"/>
        </w:rPr>
        <w:t>-</w:t>
      </w:r>
      <w:r w:rsidRPr="000F58D8">
        <w:rPr>
          <w:rFonts w:ascii="Tahoma" w:hAnsi="Tahoma" w:cs="Tahoma"/>
          <w:sz w:val="24"/>
          <w:szCs w:val="24"/>
        </w:rPr>
        <w:t>le rapport du travail instrumental à l’écoute musicale (en tant qu’indicateur de la réception des performances instrumentales)</w:t>
      </w:r>
    </w:p>
    <w:p w:rsidR="008A46E7" w:rsidRDefault="008A46E7" w:rsidP="008A46E7">
      <w:pPr>
        <w:pStyle w:val="Sansinterligne"/>
        <w:ind w:firstLine="360"/>
        <w:jc w:val="both"/>
        <w:rPr>
          <w:rFonts w:ascii="Tahoma" w:hAnsi="Tahoma" w:cs="Tahoma"/>
          <w:bCs/>
          <w:sz w:val="24"/>
          <w:szCs w:val="24"/>
        </w:rPr>
      </w:pPr>
      <w:r w:rsidRPr="000F58D8">
        <w:rPr>
          <w:rFonts w:ascii="Tahoma" w:hAnsi="Tahoma" w:cs="Tahoma"/>
          <w:bCs/>
          <w:sz w:val="24"/>
          <w:szCs w:val="24"/>
        </w:rPr>
        <w:lastRenderedPageBreak/>
        <w:t xml:space="preserve">-traces (discursives et corporelles) des actions significatives des étudiants dans le cadre des cours collectifs ou des feed-back. </w:t>
      </w:r>
    </w:p>
    <w:p w:rsidR="006A363F" w:rsidRPr="000F58D8" w:rsidRDefault="006A363F" w:rsidP="008A46E7">
      <w:pPr>
        <w:pStyle w:val="Sansinterligne"/>
        <w:ind w:firstLine="360"/>
        <w:jc w:val="both"/>
        <w:rPr>
          <w:rFonts w:ascii="Tahoma" w:hAnsi="Tahoma" w:cs="Tahoma"/>
          <w:sz w:val="24"/>
          <w:szCs w:val="24"/>
        </w:rPr>
      </w:pPr>
    </w:p>
    <w:p w:rsidR="00A03FF3" w:rsidRDefault="006A08D5" w:rsidP="00A03FF3">
      <w:pPr>
        <w:pStyle w:val="Sansinterligne"/>
        <w:jc w:val="both"/>
        <w:rPr>
          <w:rFonts w:ascii="Tahoma" w:hAnsi="Tahoma" w:cs="Tahoma"/>
          <w:sz w:val="24"/>
          <w:szCs w:val="24"/>
          <w:lang w:eastAsia="fr-CH"/>
        </w:rPr>
      </w:pPr>
      <w:r w:rsidRPr="00511B6A">
        <w:rPr>
          <w:rFonts w:ascii="Tahoma" w:hAnsi="Tahoma" w:cs="Tahoma"/>
          <w:sz w:val="24"/>
          <w:szCs w:val="24"/>
        </w:rPr>
        <w:t>Les résultats de nos analyse</w:t>
      </w:r>
      <w:r w:rsidR="00511B6A" w:rsidRPr="00511B6A">
        <w:rPr>
          <w:rFonts w:ascii="Tahoma" w:hAnsi="Tahoma" w:cs="Tahoma"/>
          <w:sz w:val="24"/>
          <w:szCs w:val="24"/>
        </w:rPr>
        <w:t xml:space="preserve">s </w:t>
      </w:r>
      <w:r w:rsidR="00900AC2">
        <w:rPr>
          <w:rFonts w:ascii="Tahoma" w:hAnsi="Tahoma" w:cs="Tahoma"/>
          <w:sz w:val="24"/>
          <w:szCs w:val="24"/>
        </w:rPr>
        <w:t xml:space="preserve">convergent vers deux formes d’enseignement contrastées </w:t>
      </w:r>
      <w:r w:rsidR="00900AC2">
        <w:rPr>
          <w:rFonts w:ascii="Tahoma" w:hAnsi="Tahoma" w:cs="Tahoma"/>
          <w:sz w:val="24"/>
          <w:szCs w:val="24"/>
          <w:lang w:eastAsia="fr-CH"/>
        </w:rPr>
        <w:t>au</w:t>
      </w:r>
      <w:r w:rsidR="00A03FF3" w:rsidRPr="000F58D8">
        <w:rPr>
          <w:rFonts w:ascii="Tahoma" w:hAnsi="Tahoma" w:cs="Tahoma"/>
          <w:sz w:val="24"/>
          <w:szCs w:val="24"/>
          <w:lang w:eastAsia="fr-CH"/>
        </w:rPr>
        <w:t xml:space="preserve"> pl</w:t>
      </w:r>
      <w:r w:rsidR="00900AC2">
        <w:rPr>
          <w:rFonts w:ascii="Tahoma" w:hAnsi="Tahoma" w:cs="Tahoma"/>
          <w:sz w:val="24"/>
          <w:szCs w:val="24"/>
          <w:lang w:eastAsia="fr-CH"/>
        </w:rPr>
        <w:t>an de l’organisation didactique chez les deux étudiants observés :</w:t>
      </w:r>
    </w:p>
    <w:p w:rsidR="00900AC2" w:rsidRDefault="00900AC2" w:rsidP="00A03FF3">
      <w:pPr>
        <w:pStyle w:val="Sansinterligne"/>
        <w:jc w:val="both"/>
        <w:rPr>
          <w:rFonts w:ascii="Tahoma" w:hAnsi="Tahoma" w:cs="Tahoma"/>
          <w:sz w:val="24"/>
          <w:szCs w:val="24"/>
          <w:lang w:eastAsia="fr-CH"/>
        </w:rPr>
      </w:pPr>
    </w:p>
    <w:p w:rsidR="00076742" w:rsidRDefault="00900AC2" w:rsidP="00A03FF3">
      <w:pPr>
        <w:pStyle w:val="Sansinterligne"/>
        <w:jc w:val="both"/>
        <w:rPr>
          <w:rFonts w:ascii="Tahoma" w:hAnsi="Tahoma" w:cs="Tahoma"/>
          <w:sz w:val="24"/>
          <w:szCs w:val="24"/>
          <w:lang w:eastAsia="fr-CH"/>
        </w:rPr>
      </w:pPr>
      <w:r>
        <w:rPr>
          <w:rFonts w:ascii="Tahoma" w:hAnsi="Tahoma" w:cs="Tahoma"/>
          <w:sz w:val="24"/>
          <w:szCs w:val="24"/>
          <w:lang w:eastAsia="fr-CH"/>
        </w:rPr>
        <w:t>-l’</w:t>
      </w:r>
      <w:r w:rsidR="00E52DE4">
        <w:rPr>
          <w:rFonts w:ascii="Tahoma" w:hAnsi="Tahoma" w:cs="Tahoma"/>
          <w:sz w:val="24"/>
          <w:szCs w:val="24"/>
          <w:lang w:eastAsia="fr-CH"/>
        </w:rPr>
        <w:t xml:space="preserve">une </w:t>
      </w:r>
      <w:r w:rsidR="00383DF3">
        <w:rPr>
          <w:rFonts w:ascii="Tahoma" w:hAnsi="Tahoma" w:cs="Tahoma"/>
          <w:sz w:val="24"/>
          <w:szCs w:val="24"/>
          <w:lang w:eastAsia="fr-CH"/>
        </w:rPr>
        <w:t>plu</w:t>
      </w:r>
      <w:r w:rsidR="00C24BB5">
        <w:rPr>
          <w:rFonts w:ascii="Tahoma" w:hAnsi="Tahoma" w:cs="Tahoma"/>
          <w:sz w:val="24"/>
          <w:szCs w:val="24"/>
          <w:lang w:eastAsia="fr-CH"/>
        </w:rPr>
        <w:t>s proche du modèle de formation,</w:t>
      </w:r>
      <w:r w:rsidR="00383DF3">
        <w:rPr>
          <w:rFonts w:ascii="Tahoma" w:hAnsi="Tahoma" w:cs="Tahoma"/>
          <w:sz w:val="24"/>
          <w:szCs w:val="24"/>
          <w:lang w:eastAsia="fr-CH"/>
        </w:rPr>
        <w:t xml:space="preserve"> suivant une logique d’élémentarisation des contenus d’enseignement</w:t>
      </w:r>
      <w:r w:rsidR="00C24BB5">
        <w:rPr>
          <w:rFonts w:ascii="Tahoma" w:hAnsi="Tahoma" w:cs="Tahoma"/>
          <w:sz w:val="24"/>
          <w:szCs w:val="24"/>
          <w:lang w:eastAsia="fr-CH"/>
        </w:rPr>
        <w:t xml:space="preserve"> techniques en fonction d’un objectif précis; combinant exemplifications, définitions discursives </w:t>
      </w:r>
      <w:r w:rsidR="00383DF3">
        <w:rPr>
          <w:rFonts w:ascii="Tahoma" w:hAnsi="Tahoma" w:cs="Tahoma"/>
          <w:sz w:val="24"/>
          <w:szCs w:val="24"/>
          <w:lang w:eastAsia="fr-CH"/>
        </w:rPr>
        <w:t xml:space="preserve"> </w:t>
      </w:r>
      <w:r w:rsidR="00C24BB5">
        <w:rPr>
          <w:rFonts w:ascii="Tahoma" w:hAnsi="Tahoma" w:cs="Tahoma"/>
          <w:sz w:val="24"/>
          <w:szCs w:val="24"/>
          <w:lang w:eastAsia="fr-CH"/>
        </w:rPr>
        <w:t xml:space="preserve">et réflexions théoriques ; </w:t>
      </w:r>
      <w:r w:rsidR="00076742">
        <w:rPr>
          <w:rFonts w:ascii="Tahoma" w:hAnsi="Tahoma" w:cs="Tahoma"/>
          <w:sz w:val="24"/>
          <w:szCs w:val="24"/>
          <w:lang w:eastAsia="fr-CH"/>
        </w:rPr>
        <w:t>focalisé sur le processus de construction du savoir technique ;</w:t>
      </w:r>
    </w:p>
    <w:p w:rsidR="00900AC2" w:rsidRDefault="00076742" w:rsidP="00A03FF3">
      <w:pPr>
        <w:pStyle w:val="Sansinterligne"/>
        <w:jc w:val="both"/>
        <w:rPr>
          <w:rFonts w:ascii="Tahoma" w:hAnsi="Tahoma" w:cs="Tahoma"/>
          <w:sz w:val="24"/>
          <w:szCs w:val="24"/>
          <w:lang w:eastAsia="fr-CH"/>
        </w:rPr>
      </w:pPr>
      <w:r>
        <w:rPr>
          <w:rFonts w:ascii="Tahoma" w:hAnsi="Tahoma" w:cs="Tahoma"/>
          <w:sz w:val="24"/>
          <w:szCs w:val="24"/>
          <w:lang w:eastAsia="fr-CH"/>
        </w:rPr>
        <w:t>-l’autre, apparemment influencé par les expériences de formation antérieures de l’étudiante, axé sur la répétition au service de la qualité du résultat</w:t>
      </w:r>
      <w:r w:rsidR="00C24BB5">
        <w:rPr>
          <w:rFonts w:ascii="Tahoma" w:hAnsi="Tahoma" w:cs="Tahoma"/>
          <w:sz w:val="24"/>
          <w:szCs w:val="24"/>
          <w:lang w:eastAsia="fr-CH"/>
        </w:rPr>
        <w:t xml:space="preserve"> </w:t>
      </w:r>
      <w:r>
        <w:rPr>
          <w:rFonts w:ascii="Tahoma" w:hAnsi="Tahoma" w:cs="Tahoma"/>
          <w:sz w:val="24"/>
          <w:szCs w:val="24"/>
          <w:lang w:eastAsia="fr-CH"/>
        </w:rPr>
        <w:t>(d’où la prégnance des définitions ostensives).</w:t>
      </w:r>
    </w:p>
    <w:p w:rsidR="00383DF3" w:rsidRDefault="00383DF3" w:rsidP="00A03FF3">
      <w:pPr>
        <w:pStyle w:val="Sansinterligne"/>
        <w:jc w:val="both"/>
        <w:rPr>
          <w:rFonts w:ascii="Tahoma" w:hAnsi="Tahoma" w:cs="Tahoma"/>
          <w:sz w:val="24"/>
          <w:szCs w:val="24"/>
          <w:lang w:eastAsia="fr-CH"/>
        </w:rPr>
      </w:pPr>
    </w:p>
    <w:p w:rsidR="00400774" w:rsidRDefault="00076742" w:rsidP="00A03FF3">
      <w:pPr>
        <w:pStyle w:val="Sansinterligne"/>
        <w:jc w:val="both"/>
        <w:rPr>
          <w:rFonts w:ascii="Tahoma" w:hAnsi="Tahoma" w:cs="Tahoma"/>
          <w:sz w:val="24"/>
          <w:szCs w:val="24"/>
          <w:lang w:eastAsia="fr-CH"/>
        </w:rPr>
      </w:pPr>
      <w:r>
        <w:rPr>
          <w:rFonts w:ascii="Tahoma" w:hAnsi="Tahoma" w:cs="Tahoma"/>
          <w:sz w:val="24"/>
          <w:szCs w:val="24"/>
          <w:lang w:eastAsia="fr-CH"/>
        </w:rPr>
        <w:t xml:space="preserve">Les deux enseignements analysés </w:t>
      </w:r>
      <w:r w:rsidR="00400774">
        <w:rPr>
          <w:rFonts w:ascii="Tahoma" w:hAnsi="Tahoma" w:cs="Tahoma"/>
          <w:sz w:val="24"/>
          <w:szCs w:val="24"/>
          <w:lang w:eastAsia="fr-CH"/>
        </w:rPr>
        <w:t>sont tributaire d’une conception d</w:t>
      </w:r>
      <w:r w:rsidR="002D5D38">
        <w:rPr>
          <w:rFonts w:ascii="Tahoma" w:hAnsi="Tahoma" w:cs="Tahoma"/>
          <w:sz w:val="24"/>
          <w:szCs w:val="24"/>
          <w:lang w:eastAsia="fr-CH"/>
        </w:rPr>
        <w:t>e l’</w:t>
      </w:r>
      <w:r w:rsidR="00400774">
        <w:rPr>
          <w:rFonts w:ascii="Tahoma" w:hAnsi="Tahoma" w:cs="Tahoma"/>
          <w:sz w:val="24"/>
          <w:szCs w:val="24"/>
          <w:lang w:eastAsia="fr-CH"/>
        </w:rPr>
        <w:t xml:space="preserve">enseignement du piano </w:t>
      </w:r>
      <w:r w:rsidR="002D5D38">
        <w:rPr>
          <w:rFonts w:ascii="Tahoma" w:hAnsi="Tahoma" w:cs="Tahoma"/>
          <w:sz w:val="24"/>
          <w:szCs w:val="24"/>
          <w:lang w:eastAsia="fr-CH"/>
        </w:rPr>
        <w:t xml:space="preserve">priorisant </w:t>
      </w:r>
      <w:r w:rsidR="00400774">
        <w:rPr>
          <w:rFonts w:ascii="Tahoma" w:hAnsi="Tahoma" w:cs="Tahoma"/>
          <w:sz w:val="24"/>
          <w:szCs w:val="24"/>
          <w:lang w:eastAsia="fr-CH"/>
        </w:rPr>
        <w:t>la construction autonome du corps technique</w:t>
      </w:r>
      <w:r w:rsidR="002D5D38">
        <w:rPr>
          <w:rFonts w:ascii="Tahoma" w:hAnsi="Tahoma" w:cs="Tahoma"/>
          <w:sz w:val="24"/>
          <w:szCs w:val="24"/>
          <w:lang w:eastAsia="fr-CH"/>
        </w:rPr>
        <w:t>, en amont de l’articulation aux propriétés de l’œuvre de référence</w:t>
      </w:r>
      <w:r w:rsidR="00400774">
        <w:rPr>
          <w:rFonts w:ascii="Tahoma" w:hAnsi="Tahoma" w:cs="Tahoma"/>
          <w:sz w:val="24"/>
          <w:szCs w:val="24"/>
          <w:lang w:eastAsia="fr-CH"/>
        </w:rPr>
        <w:t xml:space="preserve">. </w:t>
      </w:r>
    </w:p>
    <w:p w:rsidR="002D5D38" w:rsidRDefault="002D5D38" w:rsidP="00A03FF3">
      <w:pPr>
        <w:pStyle w:val="Sansinterligne"/>
        <w:jc w:val="both"/>
        <w:rPr>
          <w:rFonts w:ascii="Tahoma" w:hAnsi="Tahoma" w:cs="Tahoma"/>
          <w:sz w:val="24"/>
          <w:szCs w:val="24"/>
          <w:lang w:eastAsia="fr-CH"/>
        </w:rPr>
      </w:pPr>
    </w:p>
    <w:p w:rsidR="008A46E7" w:rsidRPr="00400774" w:rsidRDefault="00400774" w:rsidP="008A46E7">
      <w:pPr>
        <w:pStyle w:val="Sansinterligne"/>
        <w:jc w:val="both"/>
        <w:rPr>
          <w:rFonts w:ascii="Tahoma" w:eastAsia="Times New Roman" w:hAnsi="Tahoma" w:cs="Tahoma"/>
          <w:sz w:val="24"/>
          <w:szCs w:val="24"/>
          <w:lang w:eastAsia="fr-CH"/>
        </w:rPr>
      </w:pPr>
      <w:r>
        <w:rPr>
          <w:rFonts w:ascii="Tahoma" w:hAnsi="Tahoma" w:cs="Tahoma"/>
          <w:sz w:val="24"/>
          <w:szCs w:val="24"/>
          <w:lang w:eastAsia="fr-CH"/>
        </w:rPr>
        <w:t xml:space="preserve">L’analyse des actions de la formatrice, quant à elle, met en évidence deux </w:t>
      </w:r>
      <w:r w:rsidR="00ED1276">
        <w:rPr>
          <w:rFonts w:ascii="Tahoma" w:hAnsi="Tahoma" w:cs="Tahoma"/>
          <w:sz w:val="24"/>
          <w:szCs w:val="24"/>
          <w:lang w:eastAsia="fr-CH"/>
        </w:rPr>
        <w:t xml:space="preserve">principales </w:t>
      </w:r>
      <w:r>
        <w:rPr>
          <w:rFonts w:ascii="Tahoma" w:hAnsi="Tahoma" w:cs="Tahoma"/>
          <w:sz w:val="24"/>
          <w:szCs w:val="24"/>
          <w:lang w:eastAsia="fr-CH"/>
        </w:rPr>
        <w:t xml:space="preserve">caractéristiques </w:t>
      </w:r>
      <w:r w:rsidR="00ED1276">
        <w:rPr>
          <w:rFonts w:ascii="Tahoma" w:hAnsi="Tahoma" w:cs="Tahoma"/>
          <w:sz w:val="24"/>
          <w:szCs w:val="24"/>
          <w:lang w:eastAsia="fr-CH"/>
        </w:rPr>
        <w:t xml:space="preserve">de son expertise didactique </w:t>
      </w:r>
      <w:bookmarkStart w:id="0" w:name="_GoBack"/>
      <w:bookmarkEnd w:id="0"/>
      <w:r>
        <w:rPr>
          <w:rFonts w:ascii="Tahoma" w:hAnsi="Tahoma" w:cs="Tahoma"/>
          <w:sz w:val="24"/>
          <w:szCs w:val="24"/>
          <w:lang w:eastAsia="fr-CH"/>
        </w:rPr>
        <w:t xml:space="preserve">:   </w:t>
      </w:r>
      <w:r w:rsidR="008A46E7" w:rsidRPr="000F58D8">
        <w:rPr>
          <w:rFonts w:ascii="Tahoma" w:hAnsi="Tahoma" w:cs="Tahoma"/>
          <w:sz w:val="24"/>
          <w:szCs w:val="24"/>
          <w:lang w:eastAsia="fr-CH"/>
        </w:rPr>
        <w:t xml:space="preserve">  </w:t>
      </w:r>
    </w:p>
    <w:p w:rsidR="008A46E7" w:rsidRPr="000F58D8" w:rsidRDefault="008A46E7" w:rsidP="008A46E7">
      <w:pPr>
        <w:pStyle w:val="Sansinterligne"/>
        <w:jc w:val="both"/>
        <w:rPr>
          <w:rFonts w:ascii="Tahoma" w:eastAsia="Times New Roman" w:hAnsi="Tahoma" w:cs="Tahoma"/>
          <w:sz w:val="24"/>
          <w:szCs w:val="24"/>
          <w:lang w:eastAsia="fr-CH"/>
        </w:rPr>
      </w:pPr>
    </w:p>
    <w:p w:rsidR="008A46E7" w:rsidRPr="000F58D8" w:rsidRDefault="008A46E7" w:rsidP="008A46E7">
      <w:pPr>
        <w:pStyle w:val="Sansinterligne"/>
        <w:jc w:val="both"/>
        <w:rPr>
          <w:rFonts w:ascii="Tahoma" w:eastAsia="Times New Roman" w:hAnsi="Tahoma" w:cs="Tahoma"/>
          <w:sz w:val="24"/>
          <w:szCs w:val="24"/>
          <w:lang w:eastAsia="fr-CH"/>
        </w:rPr>
      </w:pPr>
      <w:r w:rsidRPr="000F58D8">
        <w:rPr>
          <w:rFonts w:ascii="Tahoma" w:hAnsi="Tahoma" w:cs="Tahoma"/>
          <w:sz w:val="24"/>
          <w:szCs w:val="24"/>
          <w:lang w:eastAsia="fr-CH"/>
        </w:rPr>
        <w:t>-la construction du corps technique adapté aux difficultés des élèves et à leurs particularités développementales</w:t>
      </w:r>
      <w:r w:rsidR="00ED1276">
        <w:rPr>
          <w:rFonts w:ascii="Tahoma" w:hAnsi="Tahoma" w:cs="Tahoma"/>
          <w:sz w:val="24"/>
          <w:szCs w:val="24"/>
          <w:lang w:eastAsia="fr-CH"/>
        </w:rPr>
        <w:t>,</w:t>
      </w:r>
      <w:r w:rsidRPr="000F58D8">
        <w:rPr>
          <w:rFonts w:ascii="Tahoma" w:hAnsi="Tahoma" w:cs="Tahoma"/>
          <w:sz w:val="24"/>
          <w:szCs w:val="24"/>
          <w:lang w:eastAsia="fr-CH"/>
        </w:rPr>
        <w:t xml:space="preserve"> mais aussi aux particularités de l’œuvre (d’où le souci pour un choix pertinent de celle-ci)</w:t>
      </w:r>
    </w:p>
    <w:p w:rsidR="008A46E7" w:rsidRPr="000F58D8" w:rsidRDefault="008A46E7" w:rsidP="008A46E7">
      <w:pPr>
        <w:pStyle w:val="Sansinterligne"/>
        <w:jc w:val="both"/>
        <w:rPr>
          <w:rFonts w:ascii="Tahoma" w:eastAsia="Times New Roman" w:hAnsi="Tahoma" w:cs="Tahoma"/>
          <w:sz w:val="24"/>
          <w:szCs w:val="24"/>
          <w:lang w:eastAsia="fr-CH"/>
        </w:rPr>
      </w:pPr>
      <w:r w:rsidRPr="000F58D8">
        <w:rPr>
          <w:rFonts w:ascii="Tahoma" w:hAnsi="Tahoma" w:cs="Tahoma"/>
          <w:sz w:val="24"/>
          <w:szCs w:val="24"/>
          <w:lang w:eastAsia="fr-CH"/>
        </w:rPr>
        <w:t>-le diagnos</w:t>
      </w:r>
      <w:r w:rsidR="00A03FF3">
        <w:rPr>
          <w:rFonts w:ascii="Tahoma" w:hAnsi="Tahoma" w:cs="Tahoma"/>
          <w:sz w:val="24"/>
          <w:szCs w:val="24"/>
          <w:lang w:eastAsia="fr-CH"/>
        </w:rPr>
        <w:t>tic des difficultés de l’élève et son traitement</w:t>
      </w:r>
      <w:r w:rsidRPr="000F58D8">
        <w:rPr>
          <w:rFonts w:ascii="Tahoma" w:hAnsi="Tahoma" w:cs="Tahoma"/>
          <w:sz w:val="24"/>
          <w:szCs w:val="24"/>
          <w:lang w:eastAsia="fr-CH"/>
        </w:rPr>
        <w:t xml:space="preserve"> </w:t>
      </w:r>
      <w:r w:rsidR="00A03FF3" w:rsidRPr="000F58D8">
        <w:rPr>
          <w:rFonts w:ascii="Tahoma" w:hAnsi="Tahoma" w:cs="Tahoma"/>
          <w:sz w:val="24"/>
          <w:szCs w:val="24"/>
          <w:lang w:eastAsia="fr-CH"/>
        </w:rPr>
        <w:t>(</w:t>
      </w:r>
      <w:r w:rsidR="00A03FF3">
        <w:rPr>
          <w:rFonts w:ascii="Tahoma" w:hAnsi="Tahoma" w:cs="Tahoma"/>
          <w:sz w:val="24"/>
          <w:szCs w:val="24"/>
          <w:lang w:eastAsia="fr-CH"/>
        </w:rPr>
        <w:t xml:space="preserve">cf. </w:t>
      </w:r>
      <w:r w:rsidR="00A03FF3" w:rsidRPr="000F58D8">
        <w:rPr>
          <w:rFonts w:ascii="Tahoma" w:hAnsi="Tahoma" w:cs="Tahoma"/>
          <w:sz w:val="24"/>
          <w:szCs w:val="24"/>
          <w:lang w:eastAsia="fr-CH"/>
        </w:rPr>
        <w:t>Abbott</w:t>
      </w:r>
      <w:r w:rsidR="00A03FF3">
        <w:rPr>
          <w:rFonts w:ascii="Tahoma" w:hAnsi="Tahoma" w:cs="Tahoma"/>
          <w:sz w:val="24"/>
          <w:szCs w:val="24"/>
          <w:lang w:eastAsia="fr-CH"/>
        </w:rPr>
        <w:t>, 1988</w:t>
      </w:r>
      <w:r w:rsidR="00A03FF3" w:rsidRPr="000F58D8">
        <w:rPr>
          <w:rFonts w:ascii="Tahoma" w:hAnsi="Tahoma" w:cs="Tahoma"/>
          <w:sz w:val="24"/>
          <w:szCs w:val="24"/>
          <w:lang w:eastAsia="fr-CH"/>
        </w:rPr>
        <w:t>)</w:t>
      </w:r>
      <w:r w:rsidR="00A03FF3">
        <w:rPr>
          <w:rFonts w:ascii="Tahoma" w:hAnsi="Tahoma" w:cs="Tahoma"/>
          <w:sz w:val="24"/>
          <w:szCs w:val="24"/>
          <w:lang w:eastAsia="fr-CH"/>
        </w:rPr>
        <w:t xml:space="preserve"> </w:t>
      </w:r>
      <w:r w:rsidRPr="000F58D8">
        <w:rPr>
          <w:rFonts w:ascii="Tahoma" w:hAnsi="Tahoma" w:cs="Tahoma"/>
          <w:sz w:val="24"/>
          <w:szCs w:val="24"/>
          <w:lang w:eastAsia="fr-CH"/>
        </w:rPr>
        <w:t xml:space="preserve">émergent comme des composantes importantes de la professionnalité enseignante </w:t>
      </w:r>
    </w:p>
    <w:p w:rsidR="008A46E7" w:rsidRPr="000F58D8" w:rsidRDefault="008A46E7" w:rsidP="008A46E7">
      <w:pPr>
        <w:pStyle w:val="Sansinterligne"/>
        <w:jc w:val="both"/>
        <w:rPr>
          <w:rFonts w:ascii="Tahoma" w:eastAsia="Times New Roman" w:hAnsi="Tahoma" w:cs="Tahoma"/>
          <w:sz w:val="24"/>
          <w:szCs w:val="24"/>
          <w:lang w:eastAsia="fr-CH"/>
        </w:rPr>
      </w:pPr>
    </w:p>
    <w:p w:rsidR="008A46E7" w:rsidRPr="000F58D8" w:rsidRDefault="008A46E7" w:rsidP="001B0222">
      <w:pPr>
        <w:rPr>
          <w:rFonts w:ascii="Tahoma" w:hAnsi="Tahoma" w:cs="Tahoma"/>
          <w:b/>
          <w:sz w:val="24"/>
          <w:szCs w:val="24"/>
        </w:rPr>
      </w:pPr>
      <w:r w:rsidRPr="000F58D8">
        <w:rPr>
          <w:rFonts w:ascii="Tahoma" w:hAnsi="Tahoma" w:cs="Tahoma"/>
          <w:b/>
          <w:sz w:val="24"/>
          <w:szCs w:val="24"/>
        </w:rPr>
        <w:t>Références bibliographiques</w:t>
      </w:r>
    </w:p>
    <w:p w:rsidR="008A46E7" w:rsidRPr="000F58D8" w:rsidRDefault="008A46E7" w:rsidP="000F58D8">
      <w:pPr>
        <w:pStyle w:val="Sansinterligne"/>
        <w:jc w:val="both"/>
        <w:rPr>
          <w:rFonts w:ascii="Tahoma" w:hAnsi="Tahoma" w:cs="Tahoma"/>
          <w:sz w:val="24"/>
          <w:szCs w:val="24"/>
          <w:lang w:val="en-GB"/>
        </w:rPr>
      </w:pPr>
      <w:r w:rsidRPr="000F58D8">
        <w:rPr>
          <w:rFonts w:ascii="Tahoma" w:hAnsi="Tahoma" w:cs="Tahoma"/>
          <w:sz w:val="24"/>
          <w:szCs w:val="24"/>
          <w:lang w:val="en-GB"/>
        </w:rPr>
        <w:t>Abbott (1988) = Abbott, A. (1988). The system of professions, an essay on the Division of Expert Labor Chicago, The University of Chicago Press</w:t>
      </w:r>
    </w:p>
    <w:p w:rsidR="000F58D8" w:rsidRPr="000F58D8" w:rsidRDefault="000F58D8" w:rsidP="008A46E7">
      <w:pPr>
        <w:pStyle w:val="Sansinterligne"/>
        <w:jc w:val="both"/>
        <w:rPr>
          <w:rFonts w:ascii="Tahoma" w:eastAsia="Calibri" w:hAnsi="Tahoma" w:cs="Tahoma"/>
          <w:sz w:val="24"/>
          <w:szCs w:val="24"/>
        </w:rPr>
      </w:pPr>
    </w:p>
    <w:p w:rsidR="000F58D8" w:rsidRPr="000F58D8" w:rsidRDefault="000F58D8" w:rsidP="000F58D8">
      <w:pPr>
        <w:pStyle w:val="Sansinterligne"/>
        <w:jc w:val="both"/>
        <w:rPr>
          <w:rFonts w:ascii="Tahoma" w:hAnsi="Tahoma" w:cs="Tahoma"/>
          <w:sz w:val="24"/>
          <w:szCs w:val="24"/>
        </w:rPr>
      </w:pPr>
      <w:r w:rsidRPr="000F58D8">
        <w:rPr>
          <w:rFonts w:ascii="Tahoma" w:hAnsi="Tahoma" w:cs="Tahoma"/>
          <w:bCs/>
          <w:sz w:val="24"/>
          <w:szCs w:val="24"/>
        </w:rPr>
        <w:t xml:space="preserve">Leutenegger, F. </w:t>
      </w:r>
      <w:r w:rsidRPr="000F58D8">
        <w:rPr>
          <w:rFonts w:ascii="Tahoma" w:hAnsi="Tahoma" w:cs="Tahoma"/>
          <w:sz w:val="24"/>
          <w:szCs w:val="24"/>
        </w:rPr>
        <w:t xml:space="preserve">(2009). </w:t>
      </w:r>
      <w:r w:rsidRPr="000F58D8">
        <w:rPr>
          <w:rFonts w:ascii="Tahoma" w:hAnsi="Tahoma" w:cs="Tahoma"/>
          <w:i/>
          <w:iCs/>
          <w:sz w:val="24"/>
          <w:szCs w:val="24"/>
        </w:rPr>
        <w:t>Le temps d’instruire : approche clinique et expérimentale du didactique ordinaire en mathématiques</w:t>
      </w:r>
      <w:r w:rsidRPr="000F58D8">
        <w:rPr>
          <w:rFonts w:ascii="Tahoma" w:hAnsi="Tahoma" w:cs="Tahoma"/>
          <w:sz w:val="24"/>
          <w:szCs w:val="24"/>
        </w:rPr>
        <w:t xml:space="preserve">, Berne, Peter Lang </w:t>
      </w:r>
    </w:p>
    <w:p w:rsidR="000F58D8" w:rsidRPr="000F58D8" w:rsidRDefault="000F58D8" w:rsidP="000F58D8">
      <w:pPr>
        <w:pStyle w:val="Sansinterligne"/>
        <w:jc w:val="both"/>
        <w:rPr>
          <w:rFonts w:ascii="Tahoma" w:hAnsi="Tahoma" w:cs="Tahoma"/>
          <w:sz w:val="24"/>
          <w:szCs w:val="24"/>
        </w:rPr>
      </w:pPr>
    </w:p>
    <w:p w:rsidR="000F58D8" w:rsidRPr="000F58D8" w:rsidRDefault="000F58D8" w:rsidP="000F58D8">
      <w:pPr>
        <w:pStyle w:val="Default"/>
        <w:jc w:val="both"/>
        <w:rPr>
          <w:rFonts w:ascii="Tahoma" w:hAnsi="Tahoma" w:cs="Tahoma"/>
        </w:rPr>
      </w:pPr>
      <w:r w:rsidRPr="000F58D8">
        <w:rPr>
          <w:rFonts w:ascii="Tahoma" w:hAnsi="Tahoma" w:cs="Tahoma"/>
          <w:bCs/>
        </w:rPr>
        <w:t xml:space="preserve">Loquet, M. &amp; al. </w:t>
      </w:r>
      <w:r w:rsidRPr="000F58D8">
        <w:rPr>
          <w:rFonts w:ascii="Tahoma" w:hAnsi="Tahoma" w:cs="Tahoma"/>
        </w:rPr>
        <w:t xml:space="preserve">(2006), « Les formes non verbales des communications didactiques chez l’intervenant en activités physiques, sportives et artistiques (APSA) », M.J. Perrin &amp; Y. Reuter (Ed.), </w:t>
      </w:r>
      <w:r w:rsidRPr="000F58D8">
        <w:rPr>
          <w:rFonts w:ascii="Tahoma" w:hAnsi="Tahoma" w:cs="Tahoma"/>
          <w:i/>
          <w:iCs/>
        </w:rPr>
        <w:t xml:space="preserve">Les méthodes de recherche en didactique. </w:t>
      </w:r>
      <w:r w:rsidRPr="000F58D8">
        <w:rPr>
          <w:rFonts w:ascii="Tahoma" w:hAnsi="Tahoma" w:cs="Tahoma"/>
        </w:rPr>
        <w:t xml:space="preserve">Actes du Premier séminaire international de juin 2005. Villeneuve d’Ascq: Presses Universitaires du Septentrion, pp.45-58.  </w:t>
      </w:r>
    </w:p>
    <w:p w:rsidR="008A46E7" w:rsidRPr="000F58D8" w:rsidRDefault="008A46E7" w:rsidP="008A46E7">
      <w:pPr>
        <w:pStyle w:val="Sansinterligne"/>
        <w:jc w:val="both"/>
        <w:rPr>
          <w:rFonts w:ascii="Tahoma" w:eastAsia="Calibri" w:hAnsi="Tahoma" w:cs="Tahoma"/>
          <w:sz w:val="24"/>
          <w:szCs w:val="24"/>
        </w:rPr>
      </w:pPr>
    </w:p>
    <w:p w:rsidR="000F58D8" w:rsidRPr="000F58D8" w:rsidRDefault="000F58D8" w:rsidP="000F58D8">
      <w:pPr>
        <w:jc w:val="both"/>
        <w:rPr>
          <w:rFonts w:ascii="Tahoma" w:eastAsia="Calibri" w:hAnsi="Tahoma" w:cs="Tahoma"/>
          <w:sz w:val="24"/>
          <w:szCs w:val="24"/>
        </w:rPr>
      </w:pPr>
      <w:r w:rsidRPr="000F58D8">
        <w:rPr>
          <w:rFonts w:ascii="Tahoma" w:eastAsia="Calibri" w:hAnsi="Tahoma" w:cs="Tahoma"/>
          <w:sz w:val="24"/>
          <w:szCs w:val="24"/>
        </w:rPr>
        <w:t xml:space="preserve">Mili et al (2013) = (2013), « Corps sonore / corps scénique /corps écrit. Corporéité dans les didactiques des arts (danse, théâtre, musique, arts visuels) », in " Dorier, J.-L. &amp;  Leutenegger, F.  &amp; Schneuwly,  B. (coord.), </w:t>
      </w:r>
      <w:r w:rsidRPr="000F58D8">
        <w:rPr>
          <w:rFonts w:ascii="Tahoma" w:eastAsia="Calibri" w:hAnsi="Tahoma" w:cs="Tahoma"/>
          <w:i/>
          <w:sz w:val="24"/>
          <w:szCs w:val="24"/>
        </w:rPr>
        <w:t>Raisons éducatives</w:t>
      </w:r>
      <w:r w:rsidRPr="000F58D8">
        <w:rPr>
          <w:rFonts w:ascii="Tahoma" w:eastAsia="Calibri" w:hAnsi="Tahoma" w:cs="Tahoma"/>
          <w:sz w:val="24"/>
          <w:szCs w:val="24"/>
        </w:rPr>
        <w:t xml:space="preserve">, no 17 / 2013 : </w:t>
      </w:r>
      <w:r w:rsidRPr="000F58D8">
        <w:rPr>
          <w:rFonts w:ascii="Tahoma" w:eastAsia="Calibri" w:hAnsi="Tahoma" w:cs="Tahoma"/>
          <w:i/>
          <w:sz w:val="24"/>
          <w:szCs w:val="24"/>
        </w:rPr>
        <w:t>Didactique en construction-Constructions des didactiques</w:t>
      </w:r>
      <w:r w:rsidRPr="000F58D8">
        <w:rPr>
          <w:rFonts w:ascii="Tahoma" w:eastAsia="Calibri" w:hAnsi="Tahoma" w:cs="Tahoma"/>
          <w:sz w:val="24"/>
          <w:szCs w:val="24"/>
        </w:rPr>
        <w:t xml:space="preserve">, Les Cahiers de la section des sciences de l’éducation, Université de Genève. </w:t>
      </w:r>
    </w:p>
    <w:p w:rsidR="000F58D8" w:rsidRPr="000F58D8" w:rsidRDefault="000F58D8" w:rsidP="000F58D8">
      <w:pPr>
        <w:pStyle w:val="Sansinterligne"/>
        <w:rPr>
          <w:rFonts w:ascii="Tahoma" w:eastAsia="Calibri" w:hAnsi="Tahoma" w:cs="Tahoma"/>
          <w:sz w:val="24"/>
          <w:szCs w:val="24"/>
        </w:rPr>
      </w:pPr>
      <w:r w:rsidRPr="000F58D8">
        <w:rPr>
          <w:rFonts w:ascii="Tahoma" w:eastAsia="Calibri" w:hAnsi="Tahoma" w:cs="Tahoma"/>
          <w:sz w:val="24"/>
          <w:szCs w:val="24"/>
        </w:rPr>
        <w:lastRenderedPageBreak/>
        <w:t xml:space="preserve">Sensevy, G. &amp; Mercier, A. (Eds.) (2007). </w:t>
      </w:r>
      <w:r w:rsidRPr="000F58D8">
        <w:rPr>
          <w:rFonts w:ascii="Tahoma" w:eastAsia="Calibri" w:hAnsi="Tahoma" w:cs="Tahoma"/>
          <w:i/>
          <w:sz w:val="24"/>
          <w:szCs w:val="24"/>
        </w:rPr>
        <w:t>Agir ensemble. L’action didactique conjointe du professeur et des élèves</w:t>
      </w:r>
      <w:r w:rsidRPr="000F58D8">
        <w:rPr>
          <w:rFonts w:ascii="Tahoma" w:eastAsia="Calibri" w:hAnsi="Tahoma" w:cs="Tahoma"/>
          <w:sz w:val="24"/>
          <w:szCs w:val="24"/>
        </w:rPr>
        <w:t>, Rennes : Presses universitaires de Rennes.</w:t>
      </w:r>
    </w:p>
    <w:p w:rsidR="000F58D8" w:rsidRPr="000F58D8" w:rsidRDefault="000F58D8" w:rsidP="000F58D8">
      <w:pPr>
        <w:pStyle w:val="Sansinterligne"/>
        <w:rPr>
          <w:rFonts w:ascii="Tahoma" w:hAnsi="Tahoma" w:cs="Tahoma"/>
          <w:sz w:val="24"/>
          <w:szCs w:val="24"/>
        </w:rPr>
      </w:pPr>
    </w:p>
    <w:p w:rsidR="000F58D8" w:rsidRPr="000F58D8" w:rsidRDefault="000F58D8" w:rsidP="000F58D8">
      <w:pPr>
        <w:jc w:val="both"/>
        <w:rPr>
          <w:rFonts w:ascii="Tahoma" w:eastAsia="Calibri" w:hAnsi="Tahoma" w:cs="Tahoma"/>
          <w:sz w:val="24"/>
          <w:szCs w:val="24"/>
        </w:rPr>
      </w:pPr>
      <w:r w:rsidRPr="000F58D8">
        <w:rPr>
          <w:rFonts w:ascii="Tahoma" w:eastAsia="Calibri" w:hAnsi="Tahoma" w:cs="Tahoma"/>
          <w:sz w:val="24"/>
          <w:szCs w:val="24"/>
        </w:rPr>
        <w:t xml:space="preserve">Vanhulle (2009), = Vanhulle, S. (2009), « Dire les savoirs professionnels : savoirs de référence et logiques d’action », in  Hofstetter, R. &amp; Schneuwly, B. (Eds.), </w:t>
      </w:r>
      <w:r w:rsidRPr="000F58D8">
        <w:rPr>
          <w:rFonts w:ascii="Tahoma" w:eastAsia="Calibri" w:hAnsi="Tahoma" w:cs="Tahoma"/>
          <w:i/>
          <w:sz w:val="24"/>
          <w:szCs w:val="24"/>
        </w:rPr>
        <w:t>Savoirs en transformation. Au cœur de l’enseignement et de la formation</w:t>
      </w:r>
      <w:r w:rsidRPr="000F58D8">
        <w:rPr>
          <w:rFonts w:ascii="Tahoma" w:eastAsia="Calibri" w:hAnsi="Tahoma" w:cs="Tahoma"/>
          <w:sz w:val="24"/>
          <w:szCs w:val="24"/>
        </w:rPr>
        <w:t>, Bruxelles, Editions De Boeck Université, pp. 245-264.</w:t>
      </w:r>
    </w:p>
    <w:p w:rsidR="008A46E7" w:rsidRPr="000F58D8" w:rsidRDefault="008A46E7" w:rsidP="001B0222">
      <w:pPr>
        <w:rPr>
          <w:rFonts w:ascii="Tahoma" w:hAnsi="Tahoma" w:cs="Tahoma"/>
          <w:sz w:val="24"/>
          <w:szCs w:val="24"/>
        </w:rPr>
      </w:pPr>
    </w:p>
    <w:sectPr w:rsidR="008A46E7" w:rsidRPr="000F5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318C"/>
    <w:multiLevelType w:val="hybridMultilevel"/>
    <w:tmpl w:val="04EC2D70"/>
    <w:lvl w:ilvl="0" w:tplc="937450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6E67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B2C1E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4603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1003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8C37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3802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F8E0C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8EBE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1A0BAC"/>
    <w:multiLevelType w:val="hybridMultilevel"/>
    <w:tmpl w:val="9978FE7C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32449"/>
    <w:multiLevelType w:val="hybridMultilevel"/>
    <w:tmpl w:val="8EACBD56"/>
    <w:lvl w:ilvl="0" w:tplc="2D441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6AFC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849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A027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6479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B2F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8E9A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BAD2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BC89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39765AA"/>
    <w:multiLevelType w:val="hybridMultilevel"/>
    <w:tmpl w:val="DB48DB04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904901"/>
    <w:multiLevelType w:val="hybridMultilevel"/>
    <w:tmpl w:val="D8A25580"/>
    <w:lvl w:ilvl="0" w:tplc="8774D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B678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C014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3E25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5A1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D48E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78A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DCA7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B07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ED0"/>
    <w:rsid w:val="00076742"/>
    <w:rsid w:val="000D4236"/>
    <w:rsid w:val="000F58D8"/>
    <w:rsid w:val="00127CB2"/>
    <w:rsid w:val="001B0222"/>
    <w:rsid w:val="001B2C9E"/>
    <w:rsid w:val="001E3A0B"/>
    <w:rsid w:val="002701D8"/>
    <w:rsid w:val="002D5D38"/>
    <w:rsid w:val="00383DF3"/>
    <w:rsid w:val="00400774"/>
    <w:rsid w:val="00455DBE"/>
    <w:rsid w:val="004A1B92"/>
    <w:rsid w:val="00511B6A"/>
    <w:rsid w:val="006A08D5"/>
    <w:rsid w:val="006A363F"/>
    <w:rsid w:val="006C1712"/>
    <w:rsid w:val="007046FC"/>
    <w:rsid w:val="007D4FB1"/>
    <w:rsid w:val="008366B8"/>
    <w:rsid w:val="008A46E7"/>
    <w:rsid w:val="00900AC2"/>
    <w:rsid w:val="009E3019"/>
    <w:rsid w:val="009E5416"/>
    <w:rsid w:val="00A03FF3"/>
    <w:rsid w:val="00B211C6"/>
    <w:rsid w:val="00C05ED0"/>
    <w:rsid w:val="00C24BB5"/>
    <w:rsid w:val="00D25B5E"/>
    <w:rsid w:val="00E52DE4"/>
    <w:rsid w:val="00E873E1"/>
    <w:rsid w:val="00ED1276"/>
    <w:rsid w:val="00F9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EED805-B1FB-4F32-AB5E-39DAD3AA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712"/>
    <w:pPr>
      <w:spacing w:after="200" w:line="276" w:lineRule="auto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A46E7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8A46E7"/>
    <w:pPr>
      <w:ind w:left="720"/>
      <w:contextualSpacing/>
    </w:pPr>
  </w:style>
  <w:style w:type="paragraph" w:customStyle="1" w:styleId="Default">
    <w:name w:val="Default"/>
    <w:rsid w:val="000F58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7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5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1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5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10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0667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2939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7216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7586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898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Unige</Company>
  <LinksUpToDate>false</LinksUpToDate>
  <CharactersWithSpaces>5828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essai2</dc:creator>
  <cp:keywords/>
  <dc:description/>
  <cp:lastModifiedBy>essai2</cp:lastModifiedBy>
  <cp:revision>24</cp:revision>
  <dcterms:created xsi:type="dcterms:W3CDTF">2015-09-26T18:19:00Z</dcterms:created>
  <dcterms:modified xsi:type="dcterms:W3CDTF">2015-09-26T20:41:00Z</dcterms:modified>
</cp:coreProperties>
</file>