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F0" w:rsidRPr="00B07BF0" w:rsidRDefault="00B07BF0" w:rsidP="00B07BF0">
      <w:pPr>
        <w:spacing w:after="0" w:line="240" w:lineRule="auto"/>
        <w:jc w:val="center"/>
        <w:rPr>
          <w:rFonts w:ascii="Tahoma" w:eastAsia="Calibri" w:hAnsi="Tahoma" w:cs="Tahoma"/>
          <w:b/>
          <w:sz w:val="24"/>
          <w:szCs w:val="24"/>
        </w:rPr>
      </w:pPr>
      <w:r w:rsidRPr="00B07BF0">
        <w:rPr>
          <w:rFonts w:ascii="Tahoma" w:eastAsia="Calibri" w:hAnsi="Tahoma" w:cs="Tahoma"/>
          <w:b/>
          <w:sz w:val="24"/>
          <w:szCs w:val="24"/>
        </w:rPr>
        <w:t>Construction d’une relation esthétique vis-à-vis de deux textes littéraires contrastés en contexte d’enseignement.</w:t>
      </w:r>
    </w:p>
    <w:p w:rsidR="00B07BF0" w:rsidRPr="00B07BF0" w:rsidRDefault="00B07BF0" w:rsidP="00B07BF0">
      <w:pPr>
        <w:spacing w:after="0" w:line="240" w:lineRule="auto"/>
        <w:jc w:val="center"/>
        <w:rPr>
          <w:rFonts w:ascii="Tahoma" w:eastAsia="Calibri" w:hAnsi="Tahoma" w:cs="Tahoma"/>
          <w:b/>
          <w:sz w:val="24"/>
          <w:szCs w:val="24"/>
        </w:rPr>
      </w:pPr>
      <w:r w:rsidRPr="00B07BF0">
        <w:rPr>
          <w:rFonts w:ascii="Tahoma" w:eastAsia="Calibri" w:hAnsi="Tahoma" w:cs="Tahoma"/>
          <w:b/>
          <w:sz w:val="24"/>
          <w:szCs w:val="24"/>
        </w:rPr>
        <w:t>Analyse comparative de pratiques effectives au fil de la scolarité.</w:t>
      </w:r>
    </w:p>
    <w:p w:rsidR="00B07BF0" w:rsidRPr="00B07BF0" w:rsidRDefault="00B07BF0" w:rsidP="00B07BF0">
      <w:pPr>
        <w:tabs>
          <w:tab w:val="left" w:pos="3751"/>
        </w:tabs>
        <w:spacing w:after="0" w:line="240" w:lineRule="auto"/>
        <w:jc w:val="center"/>
        <w:rPr>
          <w:rFonts w:ascii="Tahoma" w:eastAsia="Calibri" w:hAnsi="Tahoma" w:cs="Tahoma"/>
          <w:b/>
          <w:sz w:val="24"/>
          <w:szCs w:val="24"/>
        </w:rPr>
      </w:pPr>
    </w:p>
    <w:p w:rsidR="00B07BF0" w:rsidRPr="00B07BF0" w:rsidRDefault="00B07BF0" w:rsidP="00B07BF0">
      <w:pPr>
        <w:spacing w:after="0" w:line="240" w:lineRule="auto"/>
        <w:jc w:val="center"/>
        <w:rPr>
          <w:rFonts w:ascii="Tahoma" w:eastAsia="Calibri" w:hAnsi="Tahoma" w:cs="Tahoma"/>
          <w:i/>
          <w:sz w:val="24"/>
          <w:szCs w:val="24"/>
        </w:rPr>
      </w:pPr>
      <w:r w:rsidRPr="00B07BF0">
        <w:rPr>
          <w:rFonts w:ascii="Tahoma" w:eastAsia="Calibri" w:hAnsi="Tahoma" w:cs="Tahoma"/>
          <w:i/>
          <w:sz w:val="24"/>
          <w:szCs w:val="24"/>
        </w:rPr>
        <w:t>Chloé Gabathuler, Université de Genève, GRAFE</w:t>
      </w:r>
    </w:p>
    <w:p w:rsidR="00B07BF0" w:rsidRPr="00B07BF0" w:rsidRDefault="00B07BF0" w:rsidP="00B07BF0">
      <w:pPr>
        <w:spacing w:after="200" w:line="240" w:lineRule="auto"/>
        <w:jc w:val="both"/>
        <w:rPr>
          <w:rFonts w:ascii="Tahoma" w:eastAsia="Calibri" w:hAnsi="Tahoma" w:cs="Tahoma"/>
          <w:b/>
          <w:sz w:val="24"/>
          <w:szCs w:val="24"/>
        </w:rPr>
      </w:pPr>
      <w:r w:rsidRPr="00B07BF0">
        <w:rPr>
          <w:rFonts w:ascii="Tahoma" w:eastAsia="Calibri" w:hAnsi="Tahoma" w:cs="Tahoma"/>
          <w:b/>
          <w:sz w:val="24"/>
          <w:szCs w:val="24"/>
        </w:rPr>
        <w:t>Mots-clés</w:t>
      </w:r>
    </w:p>
    <w:p w:rsidR="00B07BF0" w:rsidRPr="00B07BF0" w:rsidRDefault="00F558C2" w:rsidP="00B07BF0">
      <w:pPr>
        <w:spacing w:after="200" w:line="240" w:lineRule="auto"/>
        <w:jc w:val="both"/>
        <w:rPr>
          <w:rFonts w:ascii="Tahoma" w:eastAsia="Calibri" w:hAnsi="Tahoma" w:cs="Tahoma"/>
          <w:sz w:val="24"/>
          <w:szCs w:val="24"/>
        </w:rPr>
      </w:pPr>
      <w:r>
        <w:rPr>
          <w:rFonts w:ascii="Tahoma" w:eastAsia="Calibri" w:hAnsi="Tahoma" w:cs="Tahoma"/>
          <w:sz w:val="24"/>
          <w:szCs w:val="24"/>
        </w:rPr>
        <w:t>r</w:t>
      </w:r>
      <w:bookmarkStart w:id="0" w:name="_GoBack"/>
      <w:bookmarkEnd w:id="0"/>
      <w:r w:rsidR="00B07BF0" w:rsidRPr="00B07BF0">
        <w:rPr>
          <w:rFonts w:ascii="Tahoma" w:eastAsia="Calibri" w:hAnsi="Tahoma" w:cs="Tahoma"/>
          <w:sz w:val="24"/>
          <w:szCs w:val="24"/>
        </w:rPr>
        <w:t>elation esthétique ; réception de la littérature ; discours sur les œuvres ; pratiques effectives ; transposition didactique ; gestes de l’enseignant. </w:t>
      </w:r>
    </w:p>
    <w:p w:rsidR="00B07BF0" w:rsidRPr="00B07BF0" w:rsidRDefault="00B07BF0" w:rsidP="00B07BF0">
      <w:pPr>
        <w:spacing w:after="200" w:line="240" w:lineRule="auto"/>
        <w:jc w:val="both"/>
        <w:rPr>
          <w:rFonts w:ascii="Tahoma" w:eastAsia="Calibri" w:hAnsi="Tahoma" w:cs="Tahoma"/>
          <w:b/>
          <w:sz w:val="24"/>
          <w:szCs w:val="24"/>
        </w:rPr>
      </w:pPr>
      <w:r w:rsidRPr="00B07BF0">
        <w:rPr>
          <w:rFonts w:ascii="Tahoma" w:eastAsia="Calibri" w:hAnsi="Tahoma" w:cs="Tahoma"/>
          <w:b/>
          <w:sz w:val="24"/>
          <w:szCs w:val="24"/>
        </w:rPr>
        <w:t>Résumé</w:t>
      </w:r>
    </w:p>
    <w:p w:rsidR="00B07BF0" w:rsidRPr="00B07BF0" w:rsidRDefault="00B07BF0" w:rsidP="00B07BF0">
      <w:pPr>
        <w:spacing w:after="200" w:line="240" w:lineRule="auto"/>
        <w:jc w:val="both"/>
        <w:rPr>
          <w:rFonts w:ascii="Tahoma" w:eastAsia="Calibri" w:hAnsi="Tahoma" w:cs="Tahoma"/>
          <w:sz w:val="24"/>
          <w:szCs w:val="24"/>
        </w:rPr>
      </w:pPr>
      <w:r w:rsidRPr="00B07BF0">
        <w:rPr>
          <w:rFonts w:ascii="Tahoma" w:eastAsia="Calibri" w:hAnsi="Tahoma" w:cs="Tahoma"/>
          <w:sz w:val="24"/>
          <w:szCs w:val="24"/>
        </w:rPr>
        <w:t>Dans cette communication, nous nous proposons d’analyser et de décrire la manière dont s’élabore la relation esthétique aux textes littéraires dans les discours formulés sur les œuvres en classe. Plus précisément, à partir d’un corpus de 60 leçons (10 du primaire, 10 du secondaire I et 10  du secondaire II)</w:t>
      </w:r>
      <w:r w:rsidRPr="00B07BF0">
        <w:rPr>
          <w:rFonts w:ascii="Tahoma" w:eastAsia="Calibri" w:hAnsi="Tahoma" w:cs="Tahoma"/>
          <w:sz w:val="24"/>
          <w:szCs w:val="24"/>
          <w:vertAlign w:val="superscript"/>
        </w:rPr>
        <w:footnoteReference w:id="1"/>
      </w:r>
      <w:r w:rsidRPr="00B07BF0">
        <w:rPr>
          <w:rFonts w:ascii="Tahoma" w:eastAsia="Calibri" w:hAnsi="Tahoma" w:cs="Tahoma"/>
          <w:sz w:val="24"/>
          <w:szCs w:val="24"/>
        </w:rPr>
        <w:t>, portant sur deux textes littéraires contrastés, nous cherchons à déterminer quels sont les gestes et les savoirs auxquels les enseignants ont recourt lors de la construction didactique d’un rapport esthétique aux œuvres.</w:t>
      </w:r>
    </w:p>
    <w:p w:rsidR="00B07BF0" w:rsidRPr="00B07BF0" w:rsidRDefault="00B07BF0" w:rsidP="00B07BF0">
      <w:pPr>
        <w:spacing w:after="200" w:line="240" w:lineRule="auto"/>
        <w:jc w:val="both"/>
        <w:rPr>
          <w:rFonts w:ascii="Tahoma" w:eastAsia="Calibri" w:hAnsi="Tahoma" w:cs="Tahoma"/>
          <w:b/>
          <w:sz w:val="24"/>
          <w:szCs w:val="24"/>
        </w:rPr>
      </w:pPr>
      <w:r w:rsidRPr="00B07BF0">
        <w:rPr>
          <w:rFonts w:ascii="Tahoma" w:eastAsia="Calibri" w:hAnsi="Tahoma" w:cs="Tahoma"/>
          <w:b/>
          <w:sz w:val="24"/>
          <w:szCs w:val="24"/>
        </w:rPr>
        <w:t>Abstract</w:t>
      </w:r>
    </w:p>
    <w:p w:rsidR="00B07BF0" w:rsidRPr="00B07BF0" w:rsidRDefault="00B07BF0" w:rsidP="00B07BF0">
      <w:pPr>
        <w:spacing w:after="100" w:afterAutospacing="1" w:line="240" w:lineRule="auto"/>
        <w:jc w:val="both"/>
        <w:rPr>
          <w:rFonts w:ascii="Tahoma" w:eastAsia="Calibri" w:hAnsi="Tahoma" w:cs="Tahoma"/>
          <w:sz w:val="24"/>
          <w:szCs w:val="24"/>
        </w:rPr>
      </w:pPr>
      <w:r w:rsidRPr="00B07BF0">
        <w:rPr>
          <w:rFonts w:ascii="Tahoma" w:eastAsia="Calibri" w:hAnsi="Tahoma" w:cs="Tahoma"/>
          <w:sz w:val="24"/>
          <w:szCs w:val="24"/>
        </w:rPr>
        <w:t>Au sein des approches didactiques de la littérature, il apparait comme communément admis que la relation esthétique est un élément incontournable dans l’appropriation des textes littéraires. Cependant, peu de recherches décrivent comment cette relation particulière se construit effectivement en classe. A partir d’un corpus de 60 leçons</w:t>
      </w:r>
      <w:r w:rsidRPr="00B07BF0">
        <w:rPr>
          <w:rFonts w:ascii="Tahoma" w:eastAsia="Calibri" w:hAnsi="Tahoma" w:cs="Tahoma"/>
          <w:sz w:val="24"/>
          <w:szCs w:val="24"/>
          <w:vertAlign w:val="superscript"/>
        </w:rPr>
        <w:footnoteReference w:id="2"/>
      </w:r>
      <w:r w:rsidRPr="00B07BF0">
        <w:rPr>
          <w:rFonts w:ascii="Tahoma" w:eastAsia="Calibri" w:hAnsi="Tahoma" w:cs="Tahoma"/>
          <w:sz w:val="24"/>
          <w:szCs w:val="24"/>
        </w:rPr>
        <w:t>, d’une durée de 1h30 environ, filmées, transcrites et réduites en synopsis selon les conventions d’usage (Schneuwly &amp; Dolz, 2009), nous avons sélectionné les interactions durant lesquelles deux textes littéraires contrastés (</w:t>
      </w:r>
      <w:r w:rsidRPr="00B07BF0">
        <w:rPr>
          <w:rFonts w:ascii="Tahoma" w:eastAsia="Calibri" w:hAnsi="Tahoma" w:cs="Tahoma"/>
          <w:i/>
          <w:sz w:val="24"/>
          <w:szCs w:val="24"/>
        </w:rPr>
        <w:t>Le loup et l’agneau</w:t>
      </w:r>
      <w:r w:rsidRPr="00B07BF0">
        <w:rPr>
          <w:rFonts w:ascii="Tahoma" w:eastAsia="Calibri" w:hAnsi="Tahoma" w:cs="Tahoma"/>
          <w:sz w:val="24"/>
          <w:szCs w:val="24"/>
        </w:rPr>
        <w:t xml:space="preserve"> de Jean de La Fontaine et </w:t>
      </w:r>
      <w:r w:rsidRPr="00B07BF0">
        <w:rPr>
          <w:rFonts w:ascii="Tahoma" w:eastAsia="Calibri" w:hAnsi="Tahoma" w:cs="Tahoma"/>
          <w:i/>
          <w:sz w:val="24"/>
          <w:szCs w:val="24"/>
        </w:rPr>
        <w:t>La Négresse et le chef des avalanches</w:t>
      </w:r>
      <w:r w:rsidRPr="00B07BF0">
        <w:rPr>
          <w:rFonts w:ascii="Tahoma" w:eastAsia="Calibri" w:hAnsi="Tahoma" w:cs="Tahoma"/>
          <w:sz w:val="24"/>
          <w:szCs w:val="24"/>
        </w:rPr>
        <w:t xml:space="preserve"> de Jean-Marc Lovay) sont appréciés et/ou évalués par les différents membres de la classe. A partir de ces interactions, notre objectif est de décrire et d’analyser le rôle de l’enseignant, ses outils et ses gestes dans la construction d’un rapport esthétique en classe, ainsi que la variation de cette action enseignante en fonction des textes et des niveaux scolaires. Nous cherchons également à déterminer : quels sont les savoirs retenus relativement à la réception de textes littéraires en contexte scolaire et quels aspects des textes sont soumis à appréciation. Au terme de ce parcours, nous  serons alors à même de dessiner les contours de la « forme </w:t>
      </w:r>
      <w:r w:rsidRPr="00B07BF0">
        <w:rPr>
          <w:rFonts w:ascii="Tahoma" w:eastAsia="Calibri" w:hAnsi="Tahoma" w:cs="Tahoma"/>
          <w:i/>
          <w:sz w:val="24"/>
          <w:szCs w:val="24"/>
        </w:rPr>
        <w:t>transposée</w:t>
      </w:r>
      <w:r w:rsidRPr="00B07BF0">
        <w:rPr>
          <w:rFonts w:ascii="Tahoma" w:eastAsia="Calibri" w:hAnsi="Tahoma" w:cs="Tahoma"/>
          <w:sz w:val="24"/>
          <w:szCs w:val="24"/>
        </w:rPr>
        <w:t> » de la relation esthétique en contexte d’enseignement  (Gabathuler &amp; Schneuwly, 2014 ; Gabathuler, 2015).</w:t>
      </w:r>
    </w:p>
    <w:p w:rsidR="00B07BF0" w:rsidRPr="00B07BF0" w:rsidRDefault="00B07BF0" w:rsidP="00B07BF0">
      <w:pPr>
        <w:spacing w:after="200" w:line="240" w:lineRule="auto"/>
        <w:jc w:val="both"/>
        <w:rPr>
          <w:rFonts w:ascii="Tahoma" w:eastAsia="Calibri" w:hAnsi="Tahoma" w:cs="Tahoma"/>
          <w:b/>
          <w:sz w:val="24"/>
          <w:szCs w:val="24"/>
        </w:rPr>
      </w:pPr>
    </w:p>
    <w:p w:rsidR="00B07BF0" w:rsidRPr="00B07BF0" w:rsidRDefault="00B07BF0" w:rsidP="00B07BF0">
      <w:pPr>
        <w:spacing w:after="200" w:line="240" w:lineRule="auto"/>
        <w:jc w:val="both"/>
        <w:rPr>
          <w:rFonts w:ascii="Tahoma" w:eastAsia="Calibri" w:hAnsi="Tahoma" w:cs="Tahoma"/>
          <w:b/>
          <w:sz w:val="24"/>
          <w:szCs w:val="24"/>
        </w:rPr>
      </w:pPr>
    </w:p>
    <w:p w:rsidR="00B07BF0" w:rsidRPr="00B07BF0" w:rsidRDefault="00B07BF0" w:rsidP="00B07BF0">
      <w:pPr>
        <w:spacing w:after="200" w:line="240" w:lineRule="auto"/>
        <w:jc w:val="both"/>
        <w:rPr>
          <w:rFonts w:ascii="Tahoma" w:eastAsia="Calibri" w:hAnsi="Tahoma" w:cs="Tahoma"/>
          <w:b/>
          <w:sz w:val="24"/>
          <w:szCs w:val="24"/>
        </w:rPr>
      </w:pPr>
    </w:p>
    <w:p w:rsidR="00B07BF0" w:rsidRPr="00B07BF0" w:rsidRDefault="00B07BF0" w:rsidP="00B07BF0">
      <w:pPr>
        <w:spacing w:after="200" w:line="240" w:lineRule="auto"/>
        <w:jc w:val="both"/>
        <w:rPr>
          <w:rFonts w:ascii="Tahoma" w:eastAsia="Calibri" w:hAnsi="Tahoma" w:cs="Tahoma"/>
          <w:b/>
          <w:sz w:val="24"/>
          <w:szCs w:val="24"/>
        </w:rPr>
      </w:pPr>
      <w:r w:rsidRPr="00B07BF0">
        <w:rPr>
          <w:rFonts w:ascii="Tahoma" w:eastAsia="Calibri" w:hAnsi="Tahoma" w:cs="Tahoma"/>
          <w:b/>
          <w:sz w:val="24"/>
          <w:szCs w:val="24"/>
        </w:rPr>
        <w:lastRenderedPageBreak/>
        <w:t>Références bibliographiques</w:t>
      </w:r>
    </w:p>
    <w:p w:rsidR="00B07BF0" w:rsidRPr="00B07BF0" w:rsidRDefault="00B07BF0" w:rsidP="00B07BF0">
      <w:pPr>
        <w:spacing w:after="200" w:line="240" w:lineRule="auto"/>
        <w:jc w:val="both"/>
        <w:rPr>
          <w:rFonts w:ascii="Tahoma" w:eastAsia="Calibri" w:hAnsi="Tahoma" w:cs="Tahoma"/>
          <w:sz w:val="24"/>
          <w:szCs w:val="24"/>
        </w:rPr>
      </w:pPr>
      <w:r w:rsidRPr="00B07BF0">
        <w:rPr>
          <w:rFonts w:ascii="Tahoma" w:eastAsia="Calibri" w:hAnsi="Tahoma" w:cs="Tahoma"/>
          <w:sz w:val="24"/>
          <w:szCs w:val="24"/>
        </w:rPr>
        <w:t xml:space="preserve">Gabathuler, C. (2015). </w:t>
      </w:r>
      <w:r w:rsidRPr="00B07BF0">
        <w:rPr>
          <w:rFonts w:ascii="Tahoma" w:eastAsia="Calibri" w:hAnsi="Tahoma" w:cs="Tahoma"/>
          <w:i/>
          <w:sz w:val="24"/>
          <w:szCs w:val="24"/>
        </w:rPr>
        <w:t>La relation esthétique dans l’enseignement de la lecture de textes littéraires. Analyse comparative de pratiques effectives au fil de la scolarité.</w:t>
      </w:r>
      <w:r w:rsidRPr="00B07BF0">
        <w:rPr>
          <w:rFonts w:ascii="Tahoma" w:eastAsia="Calibri" w:hAnsi="Tahoma" w:cs="Tahoma"/>
          <w:sz w:val="24"/>
          <w:szCs w:val="24"/>
        </w:rPr>
        <w:t xml:space="preserve"> Thèse de doctorat. Université de Genève.</w:t>
      </w:r>
    </w:p>
    <w:p w:rsidR="00B07BF0" w:rsidRPr="00B07BF0" w:rsidRDefault="00B07BF0" w:rsidP="00B07BF0">
      <w:pPr>
        <w:spacing w:after="0" w:line="240" w:lineRule="auto"/>
        <w:jc w:val="both"/>
        <w:rPr>
          <w:rFonts w:ascii="Tahoma" w:eastAsia="Calibri" w:hAnsi="Tahoma" w:cs="Tahoma"/>
          <w:sz w:val="24"/>
          <w:szCs w:val="24"/>
        </w:rPr>
      </w:pPr>
      <w:r w:rsidRPr="00B07BF0">
        <w:rPr>
          <w:rFonts w:ascii="Tahoma" w:eastAsia="Calibri" w:hAnsi="Tahoma" w:cs="Tahoma"/>
          <w:sz w:val="24"/>
          <w:szCs w:val="24"/>
        </w:rPr>
        <w:t xml:space="preserve">Gabathuler, C. &amp; Schneuwly, B. (2014). Relation esthétique, éthique et émotionnelle au texte littéraire. Deux textes contrastés au fil des niveaux scolaires. In S. Cannelas Trevisi &amp; R. Gagnon (Ed.), </w:t>
      </w:r>
      <w:r w:rsidRPr="00B07BF0">
        <w:rPr>
          <w:rFonts w:ascii="Tahoma" w:eastAsia="Calibri" w:hAnsi="Tahoma" w:cs="Tahoma"/>
          <w:i/>
          <w:sz w:val="24"/>
          <w:szCs w:val="24"/>
        </w:rPr>
        <w:t xml:space="preserve">L’analyse des pratiques en classe de français : théories et méthodes </w:t>
      </w:r>
      <w:r w:rsidRPr="00B07BF0">
        <w:rPr>
          <w:rFonts w:ascii="Tahoma" w:eastAsia="Calibri" w:hAnsi="Tahoma" w:cs="Tahoma"/>
          <w:sz w:val="24"/>
          <w:szCs w:val="24"/>
        </w:rPr>
        <w:t>(pp. 153-176)</w:t>
      </w:r>
      <w:r w:rsidRPr="00B07BF0">
        <w:rPr>
          <w:rFonts w:ascii="Tahoma" w:eastAsia="Calibri" w:hAnsi="Tahoma" w:cs="Tahoma"/>
          <w:i/>
          <w:sz w:val="24"/>
          <w:szCs w:val="24"/>
        </w:rPr>
        <w:t xml:space="preserve">. </w:t>
      </w:r>
      <w:r w:rsidRPr="00B07BF0">
        <w:rPr>
          <w:rFonts w:ascii="Tahoma" w:eastAsia="Calibri" w:hAnsi="Tahoma" w:cs="Tahoma"/>
          <w:sz w:val="24"/>
          <w:szCs w:val="24"/>
        </w:rPr>
        <w:t xml:space="preserve">Grenoble : Lidil. </w:t>
      </w:r>
    </w:p>
    <w:p w:rsidR="00B07BF0" w:rsidRPr="00B07BF0" w:rsidRDefault="00B07BF0" w:rsidP="00B07BF0">
      <w:pPr>
        <w:spacing w:after="0" w:line="240" w:lineRule="auto"/>
        <w:jc w:val="both"/>
        <w:rPr>
          <w:rFonts w:ascii="Tahoma" w:eastAsia="Calibri" w:hAnsi="Tahoma" w:cs="Tahoma"/>
          <w:sz w:val="24"/>
          <w:szCs w:val="24"/>
        </w:rPr>
      </w:pPr>
    </w:p>
    <w:p w:rsidR="00B07BF0" w:rsidRPr="00B07BF0" w:rsidRDefault="00B07BF0" w:rsidP="00B07BF0">
      <w:pPr>
        <w:spacing w:after="0" w:line="240" w:lineRule="auto"/>
        <w:jc w:val="both"/>
        <w:rPr>
          <w:rFonts w:ascii="Tahoma" w:eastAsia="Calibri" w:hAnsi="Tahoma" w:cs="Tahoma"/>
          <w:sz w:val="24"/>
          <w:szCs w:val="24"/>
        </w:rPr>
      </w:pPr>
      <w:r w:rsidRPr="00B07BF0">
        <w:rPr>
          <w:rFonts w:ascii="Tahoma" w:eastAsia="Calibri" w:hAnsi="Tahoma" w:cs="Tahoma"/>
          <w:sz w:val="24"/>
          <w:szCs w:val="24"/>
          <w:lang w:val="en-US"/>
        </w:rPr>
        <w:t xml:space="preserve">Schneuwly, B. &amp; Dolz, J. (Ed.) </w:t>
      </w:r>
      <w:r w:rsidRPr="00B07BF0">
        <w:rPr>
          <w:rFonts w:ascii="Tahoma" w:eastAsia="Calibri" w:hAnsi="Tahoma" w:cs="Tahoma"/>
          <w:sz w:val="24"/>
          <w:szCs w:val="24"/>
        </w:rPr>
        <w:t xml:space="preserve">(2009). </w:t>
      </w:r>
      <w:r w:rsidRPr="00B07BF0">
        <w:rPr>
          <w:rFonts w:ascii="Tahoma" w:eastAsia="Calibri" w:hAnsi="Tahoma" w:cs="Tahoma"/>
          <w:i/>
          <w:sz w:val="24"/>
          <w:szCs w:val="24"/>
        </w:rPr>
        <w:t xml:space="preserve">Des objets enseignés en classe de français. </w:t>
      </w:r>
      <w:r w:rsidRPr="00B07BF0">
        <w:rPr>
          <w:rFonts w:ascii="Tahoma" w:eastAsia="Calibri" w:hAnsi="Tahoma" w:cs="Tahoma"/>
          <w:sz w:val="24"/>
          <w:szCs w:val="24"/>
        </w:rPr>
        <w:t>Rennes : PUR.</w:t>
      </w:r>
    </w:p>
    <w:p w:rsidR="00B07BF0" w:rsidRPr="00B07BF0" w:rsidRDefault="00B07BF0" w:rsidP="00B07BF0">
      <w:pPr>
        <w:spacing w:after="200" w:line="240" w:lineRule="auto"/>
        <w:jc w:val="both"/>
        <w:rPr>
          <w:rFonts w:ascii="Tahoma" w:eastAsia="Calibri" w:hAnsi="Tahoma" w:cs="Tahoma"/>
          <w:sz w:val="24"/>
          <w:szCs w:val="24"/>
        </w:rPr>
      </w:pPr>
    </w:p>
    <w:p w:rsidR="00B07BF0" w:rsidRPr="00B07BF0" w:rsidRDefault="00B07BF0" w:rsidP="00B07BF0">
      <w:pPr>
        <w:spacing w:after="200" w:line="276" w:lineRule="auto"/>
        <w:rPr>
          <w:rFonts w:ascii="Tahoma" w:eastAsia="Calibri" w:hAnsi="Tahoma" w:cs="Tahoma"/>
          <w:sz w:val="24"/>
          <w:szCs w:val="24"/>
        </w:rPr>
      </w:pPr>
    </w:p>
    <w:p w:rsidR="003F6396" w:rsidRDefault="003E27FB"/>
    <w:sectPr w:rsidR="003F6396" w:rsidSect="00D0502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B" w:rsidRDefault="003E27FB" w:rsidP="00B07BF0">
      <w:pPr>
        <w:spacing w:after="0" w:line="240" w:lineRule="auto"/>
      </w:pPr>
      <w:r>
        <w:separator/>
      </w:r>
    </w:p>
  </w:endnote>
  <w:endnote w:type="continuationSeparator" w:id="0">
    <w:p w:rsidR="003E27FB" w:rsidRDefault="003E27FB" w:rsidP="00B0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B" w:rsidRDefault="003E27FB" w:rsidP="00B07BF0">
      <w:pPr>
        <w:spacing w:after="0" w:line="240" w:lineRule="auto"/>
      </w:pPr>
      <w:r>
        <w:separator/>
      </w:r>
    </w:p>
  </w:footnote>
  <w:footnote w:type="continuationSeparator" w:id="0">
    <w:p w:rsidR="003E27FB" w:rsidRDefault="003E27FB" w:rsidP="00B07BF0">
      <w:pPr>
        <w:spacing w:after="0" w:line="240" w:lineRule="auto"/>
      </w:pPr>
      <w:r>
        <w:continuationSeparator/>
      </w:r>
    </w:p>
  </w:footnote>
  <w:footnote w:id="1">
    <w:p w:rsidR="00B07BF0" w:rsidRPr="005706E1" w:rsidRDefault="00B07BF0" w:rsidP="00B07BF0">
      <w:pPr>
        <w:spacing w:line="240" w:lineRule="auto"/>
        <w:jc w:val="both"/>
      </w:pPr>
      <w:r>
        <w:rPr>
          <w:rStyle w:val="Appelnotedebasdep"/>
        </w:rPr>
        <w:footnoteRef/>
      </w:r>
      <w:r>
        <w:t xml:space="preserve"> </w:t>
      </w:r>
      <w:r w:rsidRPr="00462D16">
        <w:rPr>
          <w:sz w:val="20"/>
          <w:szCs w:val="20"/>
        </w:rPr>
        <w:t>Fond National Suisse pour la Recherche N° 100013_129797 "</w:t>
      </w:r>
      <w:r w:rsidRPr="00462D16">
        <w:rPr>
          <w:color w:val="000000"/>
          <w:sz w:val="20"/>
          <w:szCs w:val="20"/>
        </w:rPr>
        <w:t>La lecture littéraire au fil des niveaux scolaires.</w:t>
      </w:r>
      <w:r w:rsidRPr="00500586">
        <w:rPr>
          <w:color w:val="000000"/>
          <w:sz w:val="20"/>
          <w:szCs w:val="20"/>
        </w:rPr>
        <w:t xml:space="preserve"> Analyse comparative des objets enseignés</w:t>
      </w:r>
      <w:r w:rsidRPr="00500586">
        <w:rPr>
          <w:sz w:val="20"/>
          <w:szCs w:val="20"/>
        </w:rPr>
        <w:t>". Recherche sous la direction de B. Schneuwly et de C. Ronveaux.</w:t>
      </w:r>
    </w:p>
  </w:footnote>
  <w:footnote w:id="2">
    <w:p w:rsidR="00B07BF0" w:rsidRPr="00D23B2E" w:rsidRDefault="00B07BF0" w:rsidP="00B07BF0">
      <w:pPr>
        <w:pStyle w:val="Notedebasdepage"/>
      </w:pPr>
      <w:r w:rsidRPr="005706E1">
        <w:rPr>
          <w:rStyle w:val="Appelnotedebasdep"/>
        </w:rPr>
        <w:footnoteRef/>
      </w:r>
      <w:r w:rsidRPr="005706E1">
        <w:t xml:space="preserve"> </w:t>
      </w:r>
      <w:r w:rsidRPr="00B07BF0">
        <w:rPr>
          <w:rFonts w:cs="Calibri"/>
        </w:rPr>
        <w:t>10 du primaire, 10 du secondaire I et 10  du secondaire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98215"/>
      <w:docPartObj>
        <w:docPartGallery w:val="Page Numbers (Top of Page)"/>
        <w:docPartUnique/>
      </w:docPartObj>
    </w:sdtPr>
    <w:sdtEndPr/>
    <w:sdtContent>
      <w:p w:rsidR="00DC0446" w:rsidRDefault="00C67263">
        <w:pPr>
          <w:pStyle w:val="En-tte"/>
          <w:jc w:val="right"/>
        </w:pPr>
        <w:r>
          <w:fldChar w:fldCharType="begin"/>
        </w:r>
        <w:r>
          <w:instrText>PAGE   \* MERGEFORMAT</w:instrText>
        </w:r>
        <w:r>
          <w:fldChar w:fldCharType="separate"/>
        </w:r>
        <w:r w:rsidR="00F558C2" w:rsidRPr="00F558C2">
          <w:rPr>
            <w:noProof/>
            <w:lang w:val="fr-FR"/>
          </w:rPr>
          <w:t>2</w:t>
        </w:r>
        <w:r>
          <w:fldChar w:fldCharType="end"/>
        </w:r>
      </w:p>
    </w:sdtContent>
  </w:sdt>
  <w:p w:rsidR="00DC0446" w:rsidRDefault="003E27F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2B"/>
    <w:rsid w:val="003E27FB"/>
    <w:rsid w:val="004A1B92"/>
    <w:rsid w:val="007D4FB1"/>
    <w:rsid w:val="00B07BF0"/>
    <w:rsid w:val="00C0402B"/>
    <w:rsid w:val="00C67263"/>
    <w:rsid w:val="00F558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D1F6C-BAAA-4329-8E2C-9509F81E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07B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7BF0"/>
    <w:rPr>
      <w:sz w:val="20"/>
      <w:szCs w:val="20"/>
    </w:rPr>
  </w:style>
  <w:style w:type="paragraph" w:styleId="En-tte">
    <w:name w:val="header"/>
    <w:basedOn w:val="Normal"/>
    <w:link w:val="En-tteCar"/>
    <w:uiPriority w:val="99"/>
    <w:unhideWhenUsed/>
    <w:rsid w:val="00B07BF0"/>
    <w:pPr>
      <w:tabs>
        <w:tab w:val="center" w:pos="4536"/>
        <w:tab w:val="right" w:pos="9072"/>
      </w:tabs>
      <w:spacing w:after="0" w:line="240" w:lineRule="auto"/>
    </w:pPr>
  </w:style>
  <w:style w:type="character" w:customStyle="1" w:styleId="En-tteCar">
    <w:name w:val="En-tête Car"/>
    <w:basedOn w:val="Policepardfaut"/>
    <w:link w:val="En-tte"/>
    <w:uiPriority w:val="99"/>
    <w:rsid w:val="00B07BF0"/>
  </w:style>
  <w:style w:type="character" w:styleId="Appelnotedebasdep">
    <w:name w:val="footnote reference"/>
    <w:basedOn w:val="Policepardfaut"/>
    <w:uiPriority w:val="99"/>
    <w:unhideWhenUsed/>
    <w:rsid w:val="00B07B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2549</Characters>
  <Application>Microsoft Office Word</Application>
  <DocSecurity>0</DocSecurity>
  <Lines>21</Lines>
  <Paragraphs>6</Paragraphs>
  <ScaleCrop>false</ScaleCrop>
  <Company>Unige</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essai2</dc:creator>
  <cp:keywords/>
  <dc:description/>
  <cp:lastModifiedBy>essai2</cp:lastModifiedBy>
  <cp:revision>3</cp:revision>
  <dcterms:created xsi:type="dcterms:W3CDTF">2015-09-26T17:34:00Z</dcterms:created>
  <dcterms:modified xsi:type="dcterms:W3CDTF">2015-09-26T17:36:00Z</dcterms:modified>
</cp:coreProperties>
</file>