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01" w:rsidRPr="002C7001" w:rsidRDefault="002C7001" w:rsidP="002C7001">
      <w:pPr>
        <w:spacing w:after="200" w:line="276" w:lineRule="auto"/>
        <w:jc w:val="both"/>
        <w:rPr>
          <w:rFonts w:ascii="Tahoma" w:eastAsia="Calibri" w:hAnsi="Tahoma" w:cs="Tahoma"/>
          <w:b/>
          <w:bCs/>
          <w:color w:val="000000"/>
          <w:sz w:val="24"/>
          <w:szCs w:val="24"/>
        </w:rPr>
      </w:pPr>
      <w:r w:rsidRPr="002C7001">
        <w:rPr>
          <w:rFonts w:ascii="Tahoma" w:eastAsia="Calibri" w:hAnsi="Tahoma" w:cs="Tahoma"/>
          <w:b/>
          <w:bCs/>
          <w:color w:val="000000"/>
          <w:sz w:val="24"/>
          <w:szCs w:val="24"/>
        </w:rPr>
        <w:t xml:space="preserve">Du </w:t>
      </w:r>
      <w:r w:rsidRPr="002C7001">
        <w:rPr>
          <w:rFonts w:ascii="Tahoma" w:eastAsia="Calibri" w:hAnsi="Tahoma" w:cs="Tahoma"/>
          <w:b/>
          <w:bCs/>
          <w:i/>
          <w:iCs/>
          <w:color w:val="000000"/>
          <w:sz w:val="24"/>
          <w:szCs w:val="24"/>
        </w:rPr>
        <w:t>modèle</w:t>
      </w:r>
      <w:r w:rsidRPr="002C7001">
        <w:rPr>
          <w:rFonts w:ascii="Tahoma" w:eastAsia="Calibri" w:hAnsi="Tahoma" w:cs="Tahoma"/>
          <w:b/>
          <w:bCs/>
          <w:color w:val="000000"/>
          <w:sz w:val="24"/>
          <w:szCs w:val="24"/>
        </w:rPr>
        <w:t xml:space="preserve"> à la </w:t>
      </w:r>
      <w:r w:rsidRPr="002C7001">
        <w:rPr>
          <w:rFonts w:ascii="Tahoma" w:eastAsia="Calibri" w:hAnsi="Tahoma" w:cs="Tahoma"/>
          <w:b/>
          <w:bCs/>
          <w:i/>
          <w:iCs/>
          <w:color w:val="000000"/>
          <w:sz w:val="24"/>
          <w:szCs w:val="24"/>
        </w:rPr>
        <w:t xml:space="preserve">parole explicative. </w:t>
      </w:r>
      <w:r w:rsidRPr="002C7001">
        <w:rPr>
          <w:rFonts w:ascii="Tahoma" w:eastAsia="Calibri" w:hAnsi="Tahoma" w:cs="Tahoma"/>
          <w:b/>
          <w:bCs/>
          <w:color w:val="000000"/>
          <w:sz w:val="24"/>
          <w:szCs w:val="24"/>
        </w:rPr>
        <w:t>Etude comparative de pratiques de transmission dans un contexte de formation de futurs enseignants de chant classique, au XVIII</w:t>
      </w:r>
      <w:r w:rsidRPr="002C7001">
        <w:rPr>
          <w:rFonts w:ascii="Tahoma" w:eastAsia="Calibri" w:hAnsi="Tahoma" w:cs="Tahoma"/>
          <w:b/>
          <w:bCs/>
          <w:color w:val="000000"/>
          <w:sz w:val="24"/>
          <w:szCs w:val="24"/>
          <w:vertAlign w:val="superscript"/>
        </w:rPr>
        <w:t>e</w:t>
      </w:r>
      <w:r w:rsidRPr="002C7001">
        <w:rPr>
          <w:rFonts w:ascii="Tahoma" w:eastAsia="Calibri" w:hAnsi="Tahoma" w:cs="Tahoma"/>
          <w:b/>
          <w:bCs/>
          <w:color w:val="000000"/>
          <w:sz w:val="24"/>
          <w:szCs w:val="24"/>
        </w:rPr>
        <w:t xml:space="preserve"> siècle et de nos jours</w:t>
      </w:r>
    </w:p>
    <w:p w:rsidR="002C7001" w:rsidRPr="002C7001" w:rsidRDefault="002C7001" w:rsidP="002C7001">
      <w:pPr>
        <w:spacing w:after="200" w:line="276" w:lineRule="auto"/>
        <w:jc w:val="center"/>
        <w:rPr>
          <w:rFonts w:ascii="Tahoma" w:eastAsia="Calibri" w:hAnsi="Tahoma" w:cs="Tahoma"/>
          <w:bCs/>
          <w:i/>
          <w:color w:val="000000"/>
          <w:sz w:val="24"/>
          <w:szCs w:val="24"/>
        </w:rPr>
      </w:pPr>
      <w:r w:rsidRPr="002C7001">
        <w:rPr>
          <w:rFonts w:ascii="Tahoma" w:eastAsia="Calibri" w:hAnsi="Tahoma" w:cs="Tahoma"/>
          <w:bCs/>
          <w:i/>
          <w:color w:val="000000"/>
          <w:sz w:val="24"/>
          <w:szCs w:val="24"/>
        </w:rPr>
        <w:t xml:space="preserve">Isabel </w:t>
      </w:r>
      <w:proofErr w:type="spellStart"/>
      <w:r w:rsidRPr="002C7001">
        <w:rPr>
          <w:rFonts w:ascii="Tahoma" w:eastAsia="Calibri" w:hAnsi="Tahoma" w:cs="Tahoma"/>
          <w:bCs/>
          <w:i/>
          <w:color w:val="000000"/>
          <w:sz w:val="24"/>
          <w:szCs w:val="24"/>
        </w:rPr>
        <w:t>Balmori</w:t>
      </w:r>
      <w:proofErr w:type="spellEnd"/>
      <w:r w:rsidRPr="002C7001">
        <w:rPr>
          <w:rFonts w:ascii="Tahoma" w:eastAsia="Calibri" w:hAnsi="Tahoma" w:cs="Tahoma"/>
          <w:bCs/>
          <w:i/>
          <w:color w:val="000000"/>
          <w:sz w:val="24"/>
          <w:szCs w:val="24"/>
        </w:rPr>
        <w:t>, Université de Genève, équipe DAM</w:t>
      </w:r>
    </w:p>
    <w:p w:rsidR="002C7001" w:rsidRPr="002C7001" w:rsidRDefault="002C7001" w:rsidP="002C7001">
      <w:pPr>
        <w:spacing w:after="200" w:line="276" w:lineRule="auto"/>
        <w:jc w:val="both"/>
        <w:rPr>
          <w:rFonts w:ascii="Tahoma" w:eastAsia="Calibri" w:hAnsi="Tahoma" w:cs="Tahoma"/>
          <w:b/>
          <w:bCs/>
          <w:color w:val="000000"/>
          <w:sz w:val="24"/>
          <w:szCs w:val="24"/>
        </w:rPr>
      </w:pPr>
      <w:r w:rsidRPr="002C7001">
        <w:rPr>
          <w:rFonts w:ascii="Tahoma" w:eastAsia="Calibri" w:hAnsi="Tahoma" w:cs="Tahoma"/>
          <w:b/>
          <w:bCs/>
          <w:color w:val="000000"/>
          <w:sz w:val="24"/>
          <w:szCs w:val="24"/>
        </w:rPr>
        <w:t>Mots-clés </w:t>
      </w:r>
      <w:r w:rsidRPr="002C7001">
        <w:rPr>
          <w:rFonts w:ascii="Tahoma" w:eastAsia="Calibri" w:hAnsi="Tahoma" w:cs="Tahoma"/>
          <w:bCs/>
          <w:color w:val="000000"/>
          <w:sz w:val="24"/>
          <w:szCs w:val="24"/>
        </w:rPr>
        <w:t>: chant, transmission, modèle, explications, professionnalisation</w:t>
      </w:r>
    </w:p>
    <w:p w:rsidR="002C7001" w:rsidRPr="002C7001" w:rsidRDefault="002C7001" w:rsidP="002C7001">
      <w:pPr>
        <w:spacing w:after="200" w:line="276" w:lineRule="auto"/>
        <w:jc w:val="both"/>
        <w:rPr>
          <w:rFonts w:ascii="Tahoma" w:eastAsia="Calibri" w:hAnsi="Tahoma" w:cs="Tahoma"/>
          <w:b/>
          <w:sz w:val="24"/>
          <w:szCs w:val="24"/>
        </w:rPr>
      </w:pPr>
      <w:r w:rsidRPr="002C7001">
        <w:rPr>
          <w:rFonts w:ascii="Tahoma" w:eastAsia="Calibri" w:hAnsi="Tahoma" w:cs="Tahoma"/>
          <w:b/>
          <w:sz w:val="24"/>
          <w:szCs w:val="24"/>
        </w:rPr>
        <w:t>Résumé </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rPr>
        <w:t xml:space="preserve">Nous nous proposons d’analyser les </w:t>
      </w:r>
      <w:r w:rsidRPr="002C7001">
        <w:rPr>
          <w:rFonts w:ascii="Tahoma" w:eastAsia="Calibri" w:hAnsi="Tahoma" w:cs="Tahoma"/>
          <w:i/>
          <w:sz w:val="24"/>
          <w:szCs w:val="24"/>
        </w:rPr>
        <w:t>pratiques de formation</w:t>
      </w:r>
      <w:r w:rsidRPr="002C7001">
        <w:rPr>
          <w:rFonts w:ascii="Tahoma" w:eastAsia="Calibri" w:hAnsi="Tahoma" w:cs="Tahoma"/>
          <w:sz w:val="24"/>
          <w:szCs w:val="24"/>
        </w:rPr>
        <w:t xml:space="preserve"> des enseignants dans deux cadres très différents : celles en usage visant la construction de compétences d’enseignement chez les </w:t>
      </w:r>
      <w:r w:rsidRPr="002C7001">
        <w:rPr>
          <w:rFonts w:ascii="Tahoma" w:eastAsia="Calibri" w:hAnsi="Tahoma" w:cs="Tahoma"/>
          <w:i/>
          <w:sz w:val="24"/>
          <w:szCs w:val="24"/>
        </w:rPr>
        <w:t>maîtres de musique</w:t>
      </w:r>
      <w:r w:rsidRPr="002C7001">
        <w:rPr>
          <w:rFonts w:ascii="Tahoma" w:eastAsia="Calibri" w:hAnsi="Tahoma" w:cs="Tahoma"/>
          <w:sz w:val="24"/>
          <w:szCs w:val="24"/>
        </w:rPr>
        <w:t xml:space="preserve"> évoluant dans les milieux « savants » de l’Europe du XVIII</w:t>
      </w:r>
      <w:r w:rsidRPr="002C7001">
        <w:rPr>
          <w:rFonts w:ascii="Tahoma" w:eastAsia="Calibri" w:hAnsi="Tahoma" w:cs="Tahoma"/>
          <w:sz w:val="24"/>
          <w:szCs w:val="24"/>
          <w:vertAlign w:val="superscript"/>
        </w:rPr>
        <w:t>e</w:t>
      </w:r>
      <w:r w:rsidRPr="002C7001">
        <w:rPr>
          <w:rFonts w:ascii="Tahoma" w:eastAsia="Calibri" w:hAnsi="Tahoma" w:cs="Tahoma"/>
          <w:sz w:val="24"/>
          <w:szCs w:val="24"/>
        </w:rPr>
        <w:t xml:space="preserve"> siècle, et respectivement celles qu’on peut observer de nos jours dans les Hautes écoles de musique en Suisse. </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rPr>
        <w:t>Notre étude s’appuie sur des documents des XVII</w:t>
      </w:r>
      <w:r w:rsidRPr="002C7001">
        <w:rPr>
          <w:rFonts w:ascii="Tahoma" w:eastAsia="Calibri" w:hAnsi="Tahoma" w:cs="Tahoma"/>
          <w:sz w:val="24"/>
          <w:szCs w:val="24"/>
          <w:vertAlign w:val="superscript"/>
        </w:rPr>
        <w:t>e</w:t>
      </w:r>
      <w:r w:rsidRPr="002C7001">
        <w:rPr>
          <w:rFonts w:ascii="Tahoma" w:eastAsia="Calibri" w:hAnsi="Tahoma" w:cs="Tahoma"/>
          <w:sz w:val="24"/>
          <w:szCs w:val="24"/>
        </w:rPr>
        <w:t xml:space="preserve"> et XVIII</w:t>
      </w:r>
      <w:r w:rsidRPr="002C7001">
        <w:rPr>
          <w:rFonts w:ascii="Tahoma" w:eastAsia="Calibri" w:hAnsi="Tahoma" w:cs="Tahoma"/>
          <w:sz w:val="24"/>
          <w:szCs w:val="24"/>
          <w:vertAlign w:val="superscript"/>
        </w:rPr>
        <w:t>e</w:t>
      </w:r>
      <w:r w:rsidRPr="002C7001">
        <w:rPr>
          <w:rFonts w:ascii="Tahoma" w:eastAsia="Calibri" w:hAnsi="Tahoma" w:cs="Tahoma"/>
          <w:sz w:val="24"/>
          <w:szCs w:val="24"/>
        </w:rPr>
        <w:t xml:space="preserve"> siècles : de la correspondance, des traités de musique…faisant référence, d’une manière ou d’une autre, aux pratiques de transmission de savoirs propres au chant classique. En ce qui concerne les pratiques actuelles, nous avons filmé et analysé des leçons données par des formateurs spécialisés dans le chant classique, à Genève et à Lugano, dans le cadre d’un projet FNS (requête n</w:t>
      </w:r>
      <w:r w:rsidRPr="002C7001">
        <w:rPr>
          <w:rFonts w:ascii="Tahoma" w:eastAsia="Calibri" w:hAnsi="Tahoma" w:cs="Tahoma"/>
          <w:sz w:val="24"/>
          <w:szCs w:val="24"/>
          <w:vertAlign w:val="superscript"/>
        </w:rPr>
        <w:t>o</w:t>
      </w:r>
      <w:r w:rsidRPr="002C7001">
        <w:rPr>
          <w:rFonts w:ascii="Tahoma" w:eastAsia="Calibri" w:hAnsi="Tahoma" w:cs="Tahoma"/>
          <w:sz w:val="24"/>
          <w:szCs w:val="24"/>
        </w:rPr>
        <w:t xml:space="preserve"> </w:t>
      </w:r>
      <w:r w:rsidRPr="002C7001">
        <w:rPr>
          <w:rFonts w:ascii="Tahoma" w:eastAsia="Times New Roman" w:hAnsi="Tahoma" w:cs="Tahoma"/>
          <w:color w:val="000000"/>
          <w:sz w:val="24"/>
          <w:szCs w:val="24"/>
          <w:lang w:eastAsia="fr-CH"/>
        </w:rPr>
        <w:t>100019-156730</w:t>
      </w:r>
      <w:r w:rsidRPr="002C7001">
        <w:rPr>
          <w:rFonts w:ascii="Tahoma" w:eastAsia="Calibri" w:hAnsi="Tahoma" w:cs="Tahoma"/>
          <w:sz w:val="24"/>
          <w:szCs w:val="24"/>
        </w:rPr>
        <w:t>) mené à l’Université de Genève par l’équipe DAM (Didactique des Arts et du Mouvement).</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rPr>
        <w:t xml:space="preserve">Nos focales d’analyse sont la construction des </w:t>
      </w:r>
      <w:r w:rsidRPr="002C7001">
        <w:rPr>
          <w:rFonts w:ascii="Tahoma" w:eastAsia="Calibri" w:hAnsi="Tahoma" w:cs="Tahoma"/>
          <w:i/>
          <w:sz w:val="24"/>
          <w:szCs w:val="24"/>
        </w:rPr>
        <w:t>outils</w:t>
      </w:r>
      <w:r w:rsidRPr="002C7001">
        <w:rPr>
          <w:rFonts w:ascii="Tahoma" w:eastAsia="Calibri" w:hAnsi="Tahoma" w:cs="Tahoma"/>
          <w:sz w:val="24"/>
          <w:szCs w:val="24"/>
        </w:rPr>
        <w:t xml:space="preserve"> de formation, les enjeux </w:t>
      </w:r>
      <w:proofErr w:type="spellStart"/>
      <w:r w:rsidRPr="002C7001">
        <w:rPr>
          <w:rFonts w:ascii="Tahoma" w:eastAsia="Calibri" w:hAnsi="Tahoma" w:cs="Tahoma"/>
          <w:i/>
          <w:sz w:val="24"/>
          <w:szCs w:val="24"/>
        </w:rPr>
        <w:t>topogénétiques</w:t>
      </w:r>
      <w:proofErr w:type="spellEnd"/>
      <w:r w:rsidRPr="002C7001">
        <w:rPr>
          <w:rFonts w:ascii="Tahoma" w:eastAsia="Calibri" w:hAnsi="Tahoma" w:cs="Tahoma"/>
          <w:i/>
          <w:sz w:val="24"/>
          <w:szCs w:val="24"/>
        </w:rPr>
        <w:t xml:space="preserve"> sous-jacents,</w:t>
      </w:r>
      <w:r w:rsidRPr="002C7001">
        <w:rPr>
          <w:rFonts w:ascii="Tahoma" w:eastAsia="Calibri" w:hAnsi="Tahoma" w:cs="Tahoma"/>
          <w:sz w:val="24"/>
          <w:szCs w:val="24"/>
        </w:rPr>
        <w:t xml:space="preserve"> l’usage de </w:t>
      </w:r>
      <w:r w:rsidRPr="002C7001">
        <w:rPr>
          <w:rFonts w:ascii="Tahoma" w:eastAsia="Calibri" w:hAnsi="Tahoma" w:cs="Tahoma"/>
          <w:i/>
          <w:sz w:val="24"/>
          <w:szCs w:val="24"/>
        </w:rPr>
        <w:t>milieux didactiques</w:t>
      </w:r>
      <w:r w:rsidRPr="002C7001">
        <w:rPr>
          <w:rFonts w:ascii="Tahoma" w:eastAsia="Calibri" w:hAnsi="Tahoma" w:cs="Tahoma"/>
          <w:sz w:val="24"/>
          <w:szCs w:val="24"/>
        </w:rPr>
        <w:t xml:space="preserve"> et le rapport aux </w:t>
      </w:r>
      <w:r w:rsidRPr="002C7001">
        <w:rPr>
          <w:rFonts w:ascii="Tahoma" w:eastAsia="Calibri" w:hAnsi="Tahoma" w:cs="Tahoma"/>
          <w:i/>
          <w:sz w:val="24"/>
          <w:szCs w:val="24"/>
        </w:rPr>
        <w:t>savoirs,</w:t>
      </w:r>
      <w:r w:rsidRPr="002C7001">
        <w:rPr>
          <w:rFonts w:ascii="Tahoma" w:eastAsia="Calibri" w:hAnsi="Tahoma" w:cs="Tahoma"/>
          <w:sz w:val="24"/>
          <w:szCs w:val="24"/>
        </w:rPr>
        <w:t xml:space="preserve"> dont nous émettons l’hypothèse qu’ils ont subi de profondes transformations, voire des ruptures sur le plan de leur contenu et sur celui de leur organisation dans le cadre des pratiques concernées. </w:t>
      </w:r>
    </w:p>
    <w:p w:rsidR="002C7001" w:rsidRPr="002C7001" w:rsidRDefault="002C7001" w:rsidP="002C7001">
      <w:pPr>
        <w:spacing w:after="200" w:line="276" w:lineRule="auto"/>
        <w:jc w:val="both"/>
        <w:rPr>
          <w:rFonts w:ascii="Tahoma" w:eastAsia="Calibri" w:hAnsi="Tahoma" w:cs="Tahoma"/>
          <w:b/>
          <w:sz w:val="24"/>
          <w:szCs w:val="24"/>
        </w:rPr>
      </w:pPr>
      <w:r w:rsidRPr="002C7001">
        <w:rPr>
          <w:rFonts w:ascii="Tahoma" w:eastAsia="Calibri" w:hAnsi="Tahoma" w:cs="Tahoma"/>
          <w:b/>
          <w:sz w:val="24"/>
          <w:szCs w:val="24"/>
        </w:rPr>
        <w:t>Abstract</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rPr>
        <w:t xml:space="preserve">D’après l’analyse d’un </w:t>
      </w:r>
      <w:r w:rsidRPr="002C7001">
        <w:rPr>
          <w:rFonts w:ascii="Tahoma" w:eastAsia="Calibri" w:hAnsi="Tahoma" w:cs="Tahoma"/>
          <w:i/>
          <w:sz w:val="24"/>
          <w:szCs w:val="24"/>
        </w:rPr>
        <w:t>corpus</w:t>
      </w:r>
      <w:r w:rsidRPr="002C7001">
        <w:rPr>
          <w:rFonts w:ascii="Tahoma" w:eastAsia="Calibri" w:hAnsi="Tahoma" w:cs="Tahoma"/>
          <w:sz w:val="24"/>
          <w:szCs w:val="24"/>
        </w:rPr>
        <w:t xml:space="preserve"> de documents anciens concernant les pratiques des musiciens, nous avons constaté que la notion de discipline « chant classique » est relativement récente. Encore au XVIII</w:t>
      </w:r>
      <w:r w:rsidRPr="002C7001">
        <w:rPr>
          <w:rFonts w:ascii="Tahoma" w:eastAsia="Calibri" w:hAnsi="Tahoma" w:cs="Tahoma"/>
          <w:sz w:val="24"/>
          <w:szCs w:val="24"/>
          <w:vertAlign w:val="superscript"/>
        </w:rPr>
        <w:t>e</w:t>
      </w:r>
      <w:r w:rsidRPr="002C7001">
        <w:rPr>
          <w:rFonts w:ascii="Tahoma" w:eastAsia="Calibri" w:hAnsi="Tahoma" w:cs="Tahoma"/>
          <w:sz w:val="24"/>
          <w:szCs w:val="24"/>
        </w:rPr>
        <w:t xml:space="preserve"> siècle, le </w:t>
      </w:r>
      <w:r w:rsidRPr="002C7001">
        <w:rPr>
          <w:rFonts w:ascii="Tahoma" w:eastAsia="Calibri" w:hAnsi="Tahoma" w:cs="Tahoma"/>
          <w:i/>
          <w:sz w:val="24"/>
          <w:szCs w:val="24"/>
        </w:rPr>
        <w:t xml:space="preserve">maître de musique, </w:t>
      </w:r>
      <w:r w:rsidRPr="002C7001">
        <w:rPr>
          <w:rFonts w:ascii="Tahoma" w:eastAsia="Calibri" w:hAnsi="Tahoma" w:cs="Tahoma"/>
          <w:sz w:val="24"/>
          <w:szCs w:val="24"/>
        </w:rPr>
        <w:t xml:space="preserve">d’après Rousseau (1768), enseignait ce que nous différencions de nos jours comme deux matières : le solfège et le chant. En outre, un « bon » maître jouait de plusieurs instruments et savait composer. De nos jours, le chanteur est considéré un spécialiste en rapport à d’autres instrumentistes ou au métier de compositeur. </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rPr>
        <w:t xml:space="preserve">Nous nous sommes </w:t>
      </w:r>
      <w:proofErr w:type="gramStart"/>
      <w:r w:rsidRPr="002C7001">
        <w:rPr>
          <w:rFonts w:ascii="Tahoma" w:eastAsia="Calibri" w:hAnsi="Tahoma" w:cs="Tahoma"/>
          <w:sz w:val="24"/>
          <w:szCs w:val="24"/>
        </w:rPr>
        <w:t>intéressée</w:t>
      </w:r>
      <w:proofErr w:type="gramEnd"/>
      <w:r w:rsidRPr="002C7001">
        <w:rPr>
          <w:rFonts w:ascii="Tahoma" w:eastAsia="Calibri" w:hAnsi="Tahoma" w:cs="Tahoma"/>
          <w:sz w:val="24"/>
          <w:szCs w:val="24"/>
        </w:rPr>
        <w:t xml:space="preserve"> aux pratiques de formation  des anciens maîtres que nous avons comparées à celles de nos professeurs actuels. D’après les anciens documents, nous avons découvert des pratiques très éloignées des nôtres : jusqu’à la fin du XVIII</w:t>
      </w:r>
      <w:r w:rsidRPr="002C7001">
        <w:rPr>
          <w:rFonts w:ascii="Tahoma" w:eastAsia="Calibri" w:hAnsi="Tahoma" w:cs="Tahoma"/>
          <w:sz w:val="24"/>
          <w:szCs w:val="24"/>
          <w:vertAlign w:val="superscript"/>
        </w:rPr>
        <w:t>e</w:t>
      </w:r>
      <w:r w:rsidRPr="002C7001">
        <w:rPr>
          <w:rFonts w:ascii="Tahoma" w:eastAsia="Calibri" w:hAnsi="Tahoma" w:cs="Tahoma"/>
          <w:sz w:val="24"/>
          <w:szCs w:val="24"/>
        </w:rPr>
        <w:t xml:space="preserve"> siècle, ce que l’on appelle de nos jours la formation à l’enseignement semble avoir été essentiellement transmis par le </w:t>
      </w:r>
      <w:r w:rsidRPr="002C7001">
        <w:rPr>
          <w:rFonts w:ascii="Tahoma" w:eastAsia="Calibri" w:hAnsi="Tahoma" w:cs="Tahoma"/>
          <w:i/>
          <w:sz w:val="24"/>
          <w:szCs w:val="24"/>
        </w:rPr>
        <w:t>modèle</w:t>
      </w:r>
      <w:r w:rsidRPr="002C7001">
        <w:rPr>
          <w:rFonts w:ascii="Tahoma" w:eastAsia="Calibri" w:hAnsi="Tahoma" w:cs="Tahoma"/>
          <w:sz w:val="24"/>
          <w:szCs w:val="24"/>
        </w:rPr>
        <w:t xml:space="preserve"> du maître. </w:t>
      </w:r>
    </w:p>
    <w:p w:rsidR="002C7001" w:rsidRPr="002C7001" w:rsidRDefault="002C7001" w:rsidP="002C7001">
      <w:pPr>
        <w:spacing w:after="200" w:line="276" w:lineRule="auto"/>
        <w:jc w:val="both"/>
        <w:rPr>
          <w:rFonts w:ascii="Tahoma" w:eastAsia="Calibri" w:hAnsi="Tahoma" w:cs="Tahoma"/>
          <w:sz w:val="24"/>
          <w:szCs w:val="24"/>
          <w:lang w:val="fr-FR"/>
        </w:rPr>
      </w:pPr>
      <w:r w:rsidRPr="002C7001">
        <w:rPr>
          <w:rFonts w:ascii="Tahoma" w:eastAsia="Calibri" w:hAnsi="Tahoma" w:cs="Tahoma"/>
          <w:sz w:val="24"/>
          <w:szCs w:val="24"/>
        </w:rPr>
        <w:lastRenderedPageBreak/>
        <w:t>Comme le rappelle Marin (1994) : « </w:t>
      </w:r>
      <w:r w:rsidRPr="002C7001">
        <w:rPr>
          <w:rFonts w:ascii="Tahoma" w:eastAsia="Calibri" w:hAnsi="Tahoma" w:cs="Tahoma"/>
          <w:sz w:val="24"/>
          <w:szCs w:val="24"/>
          <w:lang w:val="fr-FR"/>
        </w:rPr>
        <w:t>[…] chez les penseurs idéologues « classiques », le modèle explicatif devient paradigme normatif, la loi de fonctionnement, principe moral et religieux, la structure théorique, instance de refoulement et de censure. » Marin conclut : « Il est significatif que ce procès de déplacement du modèle à la norme s’exerce essentiellement sur la matérialité du langage, matérialité qui est cependant la plus évanescente qui soit puisqu’elle est celle, sonore, de la voix. » (Marin, 1994 : 32)</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lang w:val="fr-FR"/>
        </w:rPr>
        <w:t>En effet</w:t>
      </w:r>
      <w:r w:rsidRPr="002C7001">
        <w:rPr>
          <w:rFonts w:ascii="Tahoma" w:eastAsia="Calibri" w:hAnsi="Tahoma" w:cs="Tahoma"/>
          <w:sz w:val="24"/>
          <w:szCs w:val="24"/>
        </w:rPr>
        <w:t xml:space="preserve">, d’après nos observations, dans les Hautes écoles de musique, nous avons constaté très peu d’interventions du formateur lors des leçons données par les étudiants à des élèves dans un contexte de formation. Le professeur de didactique se situe davantage comme simple observateur que comme intervenant et prend des notes qu’il utilise lors de </w:t>
      </w:r>
      <w:r w:rsidRPr="002C7001">
        <w:rPr>
          <w:rFonts w:ascii="Tahoma" w:eastAsia="Calibri" w:hAnsi="Tahoma" w:cs="Tahoma"/>
          <w:i/>
          <w:sz w:val="24"/>
          <w:szCs w:val="24"/>
        </w:rPr>
        <w:t>feedbacks</w:t>
      </w:r>
      <w:r w:rsidRPr="002C7001">
        <w:rPr>
          <w:rFonts w:ascii="Tahoma" w:eastAsia="Calibri" w:hAnsi="Tahoma" w:cs="Tahoma"/>
          <w:sz w:val="24"/>
          <w:szCs w:val="24"/>
        </w:rPr>
        <w:t xml:space="preserve"> donnés, dans un temps didactique différencié de celui de la leçon. C’est à ce moment-là que la </w:t>
      </w:r>
      <w:r w:rsidRPr="002C7001">
        <w:rPr>
          <w:rFonts w:ascii="Tahoma" w:eastAsia="Calibri" w:hAnsi="Tahoma" w:cs="Tahoma"/>
          <w:i/>
          <w:sz w:val="24"/>
          <w:szCs w:val="24"/>
        </w:rPr>
        <w:t>parole explicative</w:t>
      </w:r>
      <w:r w:rsidRPr="002C7001">
        <w:rPr>
          <w:rFonts w:ascii="Tahoma" w:eastAsia="Calibri" w:hAnsi="Tahoma" w:cs="Tahoma"/>
          <w:sz w:val="24"/>
          <w:szCs w:val="24"/>
        </w:rPr>
        <w:t xml:space="preserve"> et l’usage de </w:t>
      </w:r>
      <w:r w:rsidRPr="002C7001">
        <w:rPr>
          <w:rFonts w:ascii="Tahoma" w:eastAsia="Calibri" w:hAnsi="Tahoma" w:cs="Tahoma"/>
          <w:i/>
          <w:sz w:val="24"/>
          <w:szCs w:val="24"/>
        </w:rPr>
        <w:t xml:space="preserve">définitions </w:t>
      </w:r>
      <w:r w:rsidRPr="002C7001">
        <w:rPr>
          <w:rFonts w:ascii="Tahoma" w:eastAsia="Calibri" w:hAnsi="Tahoma" w:cs="Tahoma"/>
          <w:sz w:val="24"/>
          <w:szCs w:val="24"/>
        </w:rPr>
        <w:t>concernant un certain « bien faire » prennent une place très importante dans la formation des futurs professeurs de chant.</w:t>
      </w:r>
    </w:p>
    <w:p w:rsidR="002C7001" w:rsidRPr="002C7001" w:rsidRDefault="002C7001" w:rsidP="002C7001">
      <w:pPr>
        <w:spacing w:after="200" w:line="276" w:lineRule="auto"/>
        <w:jc w:val="both"/>
        <w:rPr>
          <w:rFonts w:ascii="Tahoma" w:eastAsia="Calibri" w:hAnsi="Tahoma" w:cs="Tahoma"/>
          <w:sz w:val="24"/>
          <w:szCs w:val="24"/>
        </w:rPr>
      </w:pPr>
      <w:r w:rsidRPr="002C7001">
        <w:rPr>
          <w:rFonts w:ascii="Tahoma" w:eastAsia="Calibri" w:hAnsi="Tahoma" w:cs="Tahoma"/>
          <w:sz w:val="24"/>
          <w:szCs w:val="24"/>
        </w:rPr>
        <w:t xml:space="preserve">Nous nous sommes </w:t>
      </w:r>
      <w:proofErr w:type="spellStart"/>
      <w:r w:rsidRPr="002C7001">
        <w:rPr>
          <w:rFonts w:ascii="Tahoma" w:eastAsia="Calibri" w:hAnsi="Tahoma" w:cs="Tahoma"/>
          <w:sz w:val="24"/>
          <w:szCs w:val="24"/>
        </w:rPr>
        <w:t>intéresséé</w:t>
      </w:r>
      <w:proofErr w:type="spellEnd"/>
      <w:r w:rsidRPr="002C7001">
        <w:rPr>
          <w:rFonts w:ascii="Tahoma" w:eastAsia="Calibri" w:hAnsi="Tahoma" w:cs="Tahoma"/>
          <w:sz w:val="24"/>
          <w:szCs w:val="24"/>
        </w:rPr>
        <w:t xml:space="preserve"> conjointement au repérage du moment où une </w:t>
      </w:r>
      <w:r w:rsidRPr="002C7001">
        <w:rPr>
          <w:rFonts w:ascii="Tahoma" w:eastAsia="Calibri" w:hAnsi="Tahoma" w:cs="Tahoma"/>
          <w:i/>
          <w:sz w:val="24"/>
          <w:szCs w:val="24"/>
        </w:rPr>
        <w:t>rupture de pratiques</w:t>
      </w:r>
      <w:r w:rsidRPr="002C7001">
        <w:rPr>
          <w:rFonts w:ascii="Tahoma" w:eastAsia="Calibri" w:hAnsi="Tahoma" w:cs="Tahoma"/>
          <w:sz w:val="24"/>
          <w:szCs w:val="24"/>
        </w:rPr>
        <w:t xml:space="preserve"> va faire en sorte que la parole explicative devienne le principal « outil » de formation des en</w:t>
      </w:r>
      <w:bookmarkStart w:id="0" w:name="_GoBack"/>
      <w:bookmarkEnd w:id="0"/>
      <w:r w:rsidRPr="002C7001">
        <w:rPr>
          <w:rFonts w:ascii="Tahoma" w:eastAsia="Calibri" w:hAnsi="Tahoma" w:cs="Tahoma"/>
          <w:sz w:val="24"/>
          <w:szCs w:val="24"/>
        </w:rPr>
        <w:t xml:space="preserve">seignants de musique. Nous nous interrogerons sur les facteurs qui ont provoqué cette transformation des pratiques, et essayerons de comprendre dans une perspective didactique, le fonctionnement des </w:t>
      </w:r>
      <w:r w:rsidRPr="002C7001">
        <w:rPr>
          <w:rFonts w:ascii="Tahoma" w:eastAsia="Calibri" w:hAnsi="Tahoma" w:cs="Tahoma"/>
          <w:i/>
          <w:sz w:val="24"/>
          <w:szCs w:val="24"/>
        </w:rPr>
        <w:t>savoirs à enseigner</w:t>
      </w:r>
      <w:r w:rsidRPr="002C7001">
        <w:rPr>
          <w:rFonts w:ascii="Tahoma" w:eastAsia="Calibri" w:hAnsi="Tahoma" w:cs="Tahoma"/>
          <w:sz w:val="24"/>
          <w:szCs w:val="24"/>
        </w:rPr>
        <w:t xml:space="preserve"> (</w:t>
      </w:r>
      <w:proofErr w:type="spellStart"/>
      <w:r w:rsidRPr="002C7001">
        <w:rPr>
          <w:rFonts w:ascii="Tahoma" w:eastAsia="Calibri" w:hAnsi="Tahoma" w:cs="Tahoma"/>
          <w:sz w:val="24"/>
          <w:szCs w:val="24"/>
        </w:rPr>
        <w:t>Chevallard</w:t>
      </w:r>
      <w:proofErr w:type="spellEnd"/>
      <w:r w:rsidRPr="002C7001">
        <w:rPr>
          <w:rFonts w:ascii="Tahoma" w:eastAsia="Calibri" w:hAnsi="Tahoma" w:cs="Tahoma"/>
          <w:sz w:val="24"/>
          <w:szCs w:val="24"/>
        </w:rPr>
        <w:t>, 1985/1991), dans les deux contextes ici comparés.</w:t>
      </w:r>
    </w:p>
    <w:p w:rsidR="002C7001" w:rsidRPr="002C7001" w:rsidRDefault="002C7001" w:rsidP="002C7001">
      <w:pPr>
        <w:spacing w:after="200" w:line="276" w:lineRule="auto"/>
        <w:jc w:val="both"/>
        <w:rPr>
          <w:rFonts w:ascii="Tahoma" w:eastAsia="Calibri" w:hAnsi="Tahoma" w:cs="Tahoma"/>
          <w:sz w:val="24"/>
          <w:szCs w:val="24"/>
          <w:lang w:val="fr-FR"/>
        </w:rPr>
      </w:pPr>
      <w:r w:rsidRPr="002C7001">
        <w:rPr>
          <w:rFonts w:ascii="Tahoma" w:eastAsia="Calibri" w:hAnsi="Tahoma" w:cs="Tahoma"/>
          <w:sz w:val="24"/>
          <w:szCs w:val="24"/>
          <w:lang w:val="fr-FR"/>
        </w:rPr>
        <w:t xml:space="preserve">Brousseau, G. (1998) </w:t>
      </w:r>
      <w:r w:rsidRPr="002C7001">
        <w:rPr>
          <w:rFonts w:ascii="Tahoma" w:eastAsia="Calibri" w:hAnsi="Tahoma" w:cs="Tahoma"/>
          <w:i/>
          <w:sz w:val="24"/>
          <w:szCs w:val="24"/>
          <w:lang w:val="fr-FR"/>
        </w:rPr>
        <w:t>Théorie des situations didactiques</w:t>
      </w:r>
      <w:r w:rsidRPr="002C7001">
        <w:rPr>
          <w:rFonts w:ascii="Tahoma" w:eastAsia="Calibri" w:hAnsi="Tahoma" w:cs="Tahoma"/>
          <w:sz w:val="24"/>
          <w:szCs w:val="24"/>
          <w:lang w:val="fr-FR"/>
        </w:rPr>
        <w:t>. Grenoble : La Pensée Sauvage.</w:t>
      </w:r>
    </w:p>
    <w:p w:rsidR="002C7001" w:rsidRPr="002C7001" w:rsidRDefault="002C7001" w:rsidP="002C7001">
      <w:pPr>
        <w:spacing w:after="200" w:line="276" w:lineRule="auto"/>
        <w:jc w:val="both"/>
        <w:rPr>
          <w:rFonts w:ascii="Tahoma" w:eastAsia="Calibri" w:hAnsi="Tahoma" w:cs="Tahoma"/>
          <w:sz w:val="24"/>
          <w:szCs w:val="24"/>
          <w:lang w:val="fr-FR"/>
        </w:rPr>
      </w:pPr>
      <w:proofErr w:type="spellStart"/>
      <w:r w:rsidRPr="002C7001">
        <w:rPr>
          <w:rFonts w:ascii="Tahoma" w:eastAsia="Calibri" w:hAnsi="Tahoma" w:cs="Tahoma"/>
          <w:sz w:val="24"/>
          <w:szCs w:val="24"/>
          <w:lang w:val="fr-FR"/>
        </w:rPr>
        <w:t>Chevallard</w:t>
      </w:r>
      <w:proofErr w:type="spellEnd"/>
      <w:r w:rsidRPr="002C7001">
        <w:rPr>
          <w:rFonts w:ascii="Tahoma" w:eastAsia="Calibri" w:hAnsi="Tahoma" w:cs="Tahoma"/>
          <w:sz w:val="24"/>
          <w:szCs w:val="24"/>
          <w:lang w:val="fr-FR"/>
        </w:rPr>
        <w:t xml:space="preserve"> Y. (1985/1991). </w:t>
      </w:r>
      <w:r w:rsidRPr="002C7001">
        <w:rPr>
          <w:rFonts w:ascii="Tahoma" w:eastAsia="Calibri" w:hAnsi="Tahoma" w:cs="Tahoma"/>
          <w:i/>
          <w:sz w:val="24"/>
          <w:szCs w:val="24"/>
          <w:lang w:val="fr-FR"/>
        </w:rPr>
        <w:t>La transposition didactique, du savoir savant au savoir enseigné</w:t>
      </w:r>
      <w:r w:rsidRPr="002C7001">
        <w:rPr>
          <w:rFonts w:ascii="Tahoma" w:eastAsia="Calibri" w:hAnsi="Tahoma" w:cs="Tahoma"/>
          <w:sz w:val="24"/>
          <w:szCs w:val="24"/>
          <w:lang w:val="fr-FR"/>
        </w:rPr>
        <w:t>. Grenoble : La Pensée Sauvage.</w:t>
      </w:r>
    </w:p>
    <w:p w:rsidR="002C7001" w:rsidRPr="002C7001" w:rsidRDefault="002C7001" w:rsidP="002C7001">
      <w:pPr>
        <w:spacing w:after="200" w:line="276" w:lineRule="auto"/>
        <w:jc w:val="both"/>
        <w:rPr>
          <w:rFonts w:ascii="Tahoma" w:eastAsia="Calibri" w:hAnsi="Tahoma" w:cs="Tahoma"/>
          <w:sz w:val="24"/>
          <w:szCs w:val="24"/>
          <w:lang w:val="fr-FR"/>
        </w:rPr>
      </w:pPr>
      <w:r w:rsidRPr="002C7001">
        <w:rPr>
          <w:rFonts w:ascii="Tahoma" w:eastAsia="Calibri" w:hAnsi="Tahoma" w:cs="Tahoma"/>
          <w:sz w:val="24"/>
          <w:szCs w:val="24"/>
          <w:lang w:val="fr-FR"/>
        </w:rPr>
        <w:t xml:space="preserve">Marin, L. (1994). « Champ théorique et pratique symbolique » in </w:t>
      </w:r>
      <w:r w:rsidRPr="002C7001">
        <w:rPr>
          <w:rFonts w:ascii="Tahoma" w:eastAsia="Calibri" w:hAnsi="Tahoma" w:cs="Tahoma"/>
          <w:i/>
          <w:sz w:val="24"/>
          <w:szCs w:val="24"/>
          <w:lang w:val="fr-FR"/>
        </w:rPr>
        <w:t>De la représentation</w:t>
      </w:r>
      <w:r w:rsidRPr="002C7001">
        <w:rPr>
          <w:rFonts w:ascii="Tahoma" w:eastAsia="Calibri" w:hAnsi="Tahoma" w:cs="Tahoma"/>
          <w:sz w:val="24"/>
          <w:szCs w:val="24"/>
          <w:lang w:val="fr-FR"/>
        </w:rPr>
        <w:t>. Paris : Gallimard.</w:t>
      </w:r>
    </w:p>
    <w:p w:rsidR="002C7001" w:rsidRPr="002C7001" w:rsidRDefault="002C7001" w:rsidP="002C7001">
      <w:pPr>
        <w:spacing w:after="200" w:line="276" w:lineRule="auto"/>
        <w:jc w:val="both"/>
        <w:rPr>
          <w:rFonts w:ascii="Tahoma" w:eastAsia="Calibri" w:hAnsi="Tahoma" w:cs="Tahoma"/>
          <w:sz w:val="24"/>
          <w:szCs w:val="24"/>
          <w:lang w:val="fr-FR"/>
        </w:rPr>
      </w:pPr>
      <w:r w:rsidRPr="002C7001">
        <w:rPr>
          <w:rFonts w:ascii="Tahoma" w:eastAsia="Calibri" w:hAnsi="Tahoma" w:cs="Tahoma"/>
          <w:sz w:val="24"/>
          <w:szCs w:val="24"/>
          <w:lang w:val="fr-FR"/>
        </w:rPr>
        <w:t xml:space="preserve">Rousseau, J.J. (1768). </w:t>
      </w:r>
      <w:r w:rsidRPr="002C7001">
        <w:rPr>
          <w:rFonts w:ascii="Tahoma" w:eastAsia="Calibri" w:hAnsi="Tahoma" w:cs="Tahoma"/>
          <w:i/>
          <w:sz w:val="24"/>
          <w:szCs w:val="24"/>
          <w:lang w:val="fr-FR"/>
        </w:rPr>
        <w:t>Dictionnaire de la musique</w:t>
      </w:r>
      <w:r w:rsidRPr="002C7001">
        <w:rPr>
          <w:rFonts w:ascii="Tahoma" w:eastAsia="Calibri" w:hAnsi="Tahoma" w:cs="Tahoma"/>
          <w:sz w:val="24"/>
          <w:szCs w:val="24"/>
          <w:lang w:val="fr-FR"/>
        </w:rPr>
        <w:t xml:space="preserve">. Paris : Veuve </w:t>
      </w:r>
      <w:proofErr w:type="spellStart"/>
      <w:r w:rsidRPr="002C7001">
        <w:rPr>
          <w:rFonts w:ascii="Tahoma" w:eastAsia="Calibri" w:hAnsi="Tahoma" w:cs="Tahoma"/>
          <w:sz w:val="24"/>
          <w:szCs w:val="24"/>
          <w:lang w:val="fr-FR"/>
        </w:rPr>
        <w:t>Duschesne</w:t>
      </w:r>
      <w:proofErr w:type="spellEnd"/>
      <w:r w:rsidRPr="002C7001">
        <w:rPr>
          <w:rFonts w:ascii="Tahoma" w:eastAsia="Calibri" w:hAnsi="Tahoma" w:cs="Tahoma"/>
          <w:sz w:val="24"/>
          <w:szCs w:val="24"/>
          <w:lang w:val="fr-FR"/>
        </w:rPr>
        <w:t>.</w:t>
      </w:r>
    </w:p>
    <w:p w:rsidR="002C7001" w:rsidRPr="002C7001" w:rsidRDefault="002C7001" w:rsidP="002C7001">
      <w:pPr>
        <w:spacing w:after="200" w:line="276" w:lineRule="auto"/>
        <w:jc w:val="both"/>
        <w:rPr>
          <w:rFonts w:ascii="Tahoma" w:eastAsia="Calibri" w:hAnsi="Tahoma" w:cs="Tahoma"/>
          <w:sz w:val="24"/>
          <w:szCs w:val="24"/>
          <w:lang w:val="fr-FR"/>
        </w:rPr>
      </w:pPr>
    </w:p>
    <w:p w:rsidR="002C7001" w:rsidRPr="002C7001" w:rsidRDefault="002C7001" w:rsidP="002C7001">
      <w:pPr>
        <w:spacing w:after="200" w:line="276" w:lineRule="auto"/>
        <w:jc w:val="both"/>
        <w:rPr>
          <w:rFonts w:ascii="Tahoma" w:eastAsia="Calibri" w:hAnsi="Tahoma" w:cs="Tahoma"/>
          <w:sz w:val="24"/>
          <w:szCs w:val="24"/>
          <w:lang w:val="fr-FR"/>
        </w:rPr>
      </w:pPr>
    </w:p>
    <w:p w:rsidR="002C7001" w:rsidRPr="002C7001" w:rsidRDefault="002C7001" w:rsidP="002C7001">
      <w:pPr>
        <w:spacing w:after="200" w:line="276" w:lineRule="auto"/>
        <w:jc w:val="both"/>
        <w:rPr>
          <w:rFonts w:ascii="Tahoma" w:eastAsia="Calibri" w:hAnsi="Tahoma" w:cs="Tahoma"/>
          <w:sz w:val="24"/>
          <w:szCs w:val="24"/>
          <w:lang w:val="fr-FR"/>
        </w:rPr>
      </w:pPr>
    </w:p>
    <w:p w:rsidR="002C7001" w:rsidRPr="002C7001" w:rsidRDefault="002C7001" w:rsidP="002C7001">
      <w:pPr>
        <w:spacing w:after="200" w:line="276" w:lineRule="auto"/>
        <w:jc w:val="both"/>
        <w:rPr>
          <w:rFonts w:ascii="Tahoma" w:eastAsia="Calibri" w:hAnsi="Tahoma" w:cs="Tahoma"/>
          <w:sz w:val="24"/>
          <w:szCs w:val="24"/>
          <w:lang w:val="fr-FR"/>
        </w:rPr>
      </w:pPr>
    </w:p>
    <w:p w:rsidR="002C7001" w:rsidRPr="002C7001" w:rsidRDefault="002C7001" w:rsidP="002C7001">
      <w:pPr>
        <w:spacing w:after="200" w:line="276" w:lineRule="auto"/>
        <w:jc w:val="both"/>
        <w:rPr>
          <w:rFonts w:ascii="Tahoma" w:eastAsia="Calibri" w:hAnsi="Tahoma" w:cs="Tahoma"/>
          <w:sz w:val="24"/>
          <w:szCs w:val="24"/>
          <w:lang w:val="fr-FR"/>
        </w:rPr>
      </w:pPr>
    </w:p>
    <w:p w:rsidR="002C7001" w:rsidRPr="002C7001" w:rsidRDefault="002C7001" w:rsidP="002C7001">
      <w:pPr>
        <w:autoSpaceDE w:val="0"/>
        <w:autoSpaceDN w:val="0"/>
        <w:adjustRightInd w:val="0"/>
        <w:spacing w:after="0" w:line="240" w:lineRule="auto"/>
        <w:jc w:val="both"/>
        <w:rPr>
          <w:rFonts w:ascii="Tahoma" w:eastAsia="Calibri" w:hAnsi="Tahoma" w:cs="Tahoma"/>
          <w:sz w:val="24"/>
          <w:szCs w:val="24"/>
          <w:lang w:val="fr-FR"/>
        </w:rPr>
      </w:pPr>
    </w:p>
    <w:p w:rsidR="003F6396" w:rsidRPr="002C7001" w:rsidRDefault="002C7001">
      <w:pPr>
        <w:rPr>
          <w:lang w:val="fr-FR"/>
        </w:rPr>
      </w:pPr>
    </w:p>
    <w:sectPr w:rsidR="003F6396" w:rsidRPr="002C7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24"/>
    <w:rsid w:val="002C7001"/>
    <w:rsid w:val="004A1B92"/>
    <w:rsid w:val="007D4FB1"/>
    <w:rsid w:val="00B679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563CE-F7A6-4F7E-AD5F-70793053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3874</Characters>
  <Application>Microsoft Office Word</Application>
  <DocSecurity>0</DocSecurity>
  <Lines>32</Lines>
  <Paragraphs>9</Paragraphs>
  <ScaleCrop>false</ScaleCrop>
  <Company>Unige</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essai2</dc:creator>
  <cp:keywords/>
  <dc:description/>
  <cp:lastModifiedBy>essai2</cp:lastModifiedBy>
  <cp:revision>2</cp:revision>
  <dcterms:created xsi:type="dcterms:W3CDTF">2015-09-26T17:28:00Z</dcterms:created>
  <dcterms:modified xsi:type="dcterms:W3CDTF">2015-09-26T17:28:00Z</dcterms:modified>
</cp:coreProperties>
</file>