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58" w:rsidRPr="007A1BC8" w:rsidRDefault="007A1BC8">
      <w:pPr>
        <w:rPr>
          <w:rFonts w:ascii="Times New Roman" w:hAnsi="Times New Roman" w:cs="Times New Roman"/>
          <w:sz w:val="24"/>
          <w:szCs w:val="24"/>
        </w:rPr>
      </w:pPr>
      <w:r w:rsidRPr="007A1BC8">
        <w:rPr>
          <w:rFonts w:ascii="Times New Roman" w:hAnsi="Times New Roman" w:cs="Times New Roman"/>
          <w:sz w:val="24"/>
          <w:szCs w:val="24"/>
        </w:rPr>
        <w:t>Musard,</w:t>
      </w:r>
      <w:r w:rsidR="00843563">
        <w:rPr>
          <w:rFonts w:ascii="Times New Roman" w:hAnsi="Times New Roman" w:cs="Times New Roman"/>
          <w:sz w:val="24"/>
          <w:szCs w:val="24"/>
        </w:rPr>
        <w:t xml:space="preserve"> Mathilde,</w:t>
      </w:r>
      <w:r w:rsidRPr="007A1BC8">
        <w:rPr>
          <w:rFonts w:ascii="Times New Roman" w:hAnsi="Times New Roman" w:cs="Times New Roman"/>
          <w:sz w:val="24"/>
          <w:szCs w:val="24"/>
        </w:rPr>
        <w:t xml:space="preserve"> Le Paven</w:t>
      </w:r>
      <w:r w:rsidR="00843563">
        <w:rPr>
          <w:rFonts w:ascii="Times New Roman" w:hAnsi="Times New Roman" w:cs="Times New Roman"/>
          <w:sz w:val="24"/>
          <w:szCs w:val="24"/>
        </w:rPr>
        <w:t>, Maël</w:t>
      </w:r>
      <w:r w:rsidR="00E501E2" w:rsidRPr="00E501E2">
        <w:rPr>
          <w:rFonts w:ascii="Times New Roman" w:hAnsi="Times New Roman" w:cs="Times New Roman"/>
          <w:sz w:val="24"/>
          <w:szCs w:val="24"/>
        </w:rPr>
        <w:t xml:space="preserve"> </w:t>
      </w:r>
      <w:r w:rsidR="00E501E2" w:rsidRPr="007A1BC8">
        <w:rPr>
          <w:rFonts w:ascii="Times New Roman" w:hAnsi="Times New Roman" w:cs="Times New Roman"/>
          <w:sz w:val="24"/>
          <w:szCs w:val="24"/>
        </w:rPr>
        <w:t>&amp;</w:t>
      </w:r>
      <w:r w:rsidR="00E501E2">
        <w:rPr>
          <w:rFonts w:ascii="Times New Roman" w:hAnsi="Times New Roman" w:cs="Times New Roman"/>
          <w:sz w:val="24"/>
          <w:szCs w:val="24"/>
        </w:rPr>
        <w:t xml:space="preserve"> L</w:t>
      </w:r>
      <w:r w:rsidR="00E501E2" w:rsidRPr="007A1BC8">
        <w:rPr>
          <w:rFonts w:ascii="Times New Roman" w:hAnsi="Times New Roman" w:cs="Times New Roman"/>
          <w:sz w:val="24"/>
          <w:szCs w:val="24"/>
        </w:rPr>
        <w:t>e Borgne</w:t>
      </w:r>
      <w:r w:rsidR="00843563">
        <w:rPr>
          <w:rFonts w:ascii="Times New Roman" w:hAnsi="Times New Roman" w:cs="Times New Roman"/>
          <w:sz w:val="24"/>
          <w:szCs w:val="24"/>
        </w:rPr>
        <w:t>, Philippe</w:t>
      </w:r>
    </w:p>
    <w:p w:rsidR="002B62ED" w:rsidRDefault="007A1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perspectives pour </w:t>
      </w:r>
      <w:r w:rsidR="002B62ED">
        <w:rPr>
          <w:rFonts w:ascii="Times New Roman" w:hAnsi="Times New Roman" w:cs="Times New Roman"/>
          <w:sz w:val="24"/>
          <w:szCs w:val="24"/>
        </w:rPr>
        <w:t>des dispositifs d’analyse didactique des pratiques en formation ?</w:t>
      </w:r>
    </w:p>
    <w:p w:rsidR="00555BD8" w:rsidRDefault="008435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563">
        <w:rPr>
          <w:rFonts w:ascii="Times New Roman" w:hAnsi="Times New Roman" w:cs="Times New Roman"/>
          <w:sz w:val="24"/>
          <w:szCs w:val="24"/>
        </w:rPr>
        <w:t>agir</w:t>
      </w:r>
      <w:proofErr w:type="gramEnd"/>
      <w:r w:rsidRPr="00843563">
        <w:rPr>
          <w:rFonts w:ascii="Times New Roman" w:hAnsi="Times New Roman" w:cs="Times New Roman"/>
          <w:sz w:val="24"/>
          <w:szCs w:val="24"/>
        </w:rPr>
        <w:t xml:space="preserve"> enseignant, analyse didactique des pratiques, formation, EPS, mathématiques</w:t>
      </w:r>
    </w:p>
    <w:p w:rsidR="00555BD8" w:rsidRDefault="00555BD8" w:rsidP="008A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</w:t>
      </w:r>
    </w:p>
    <w:p w:rsidR="005E6495" w:rsidRDefault="00EA5349" w:rsidP="00893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cette recherche exploratoire, nous étudions </w:t>
      </w:r>
      <w:r w:rsidR="00893B6D">
        <w:rPr>
          <w:rFonts w:ascii="Times New Roman" w:hAnsi="Times New Roman" w:cs="Times New Roman"/>
        </w:rPr>
        <w:t>« </w:t>
      </w:r>
      <w:r>
        <w:rPr>
          <w:rFonts w:ascii="Times New Roman" w:hAnsi="Times New Roman" w:cs="Times New Roman"/>
        </w:rPr>
        <w:t>l</w:t>
      </w:r>
      <w:r w:rsidR="00893B6D">
        <w:rPr>
          <w:rFonts w:ascii="Times New Roman" w:hAnsi="Times New Roman" w:cs="Times New Roman"/>
        </w:rPr>
        <w:t xml:space="preserve">e curriculum en train de se faire » chez </w:t>
      </w:r>
      <w:r>
        <w:rPr>
          <w:rFonts w:ascii="Times New Roman" w:hAnsi="Times New Roman" w:cs="Times New Roman"/>
        </w:rPr>
        <w:t>deux professeurs des écoles stagiaires (PES) dans deux disciplines, les mathématiques et l’EPS selon une visée d’abord compréhensive pour mettre au jour des généricités et spécificités dans l’agir professoral (</w:t>
      </w:r>
      <w:proofErr w:type="spellStart"/>
      <w:r>
        <w:rPr>
          <w:rFonts w:ascii="Times New Roman" w:hAnsi="Times New Roman" w:cs="Times New Roman"/>
        </w:rPr>
        <w:t>Bucheton</w:t>
      </w:r>
      <w:proofErr w:type="spellEnd"/>
      <w:r>
        <w:rPr>
          <w:rFonts w:ascii="Times New Roman" w:hAnsi="Times New Roman" w:cs="Times New Roman"/>
        </w:rPr>
        <w:t xml:space="preserve"> &amp; Soulé, 2009), tout en questionnant la visée transformative.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cette communication, nous centrons notre réflexion sur les intérêts et les difficultés rencontrés pour mettre en œuvre un dispositif d’analyse didactique des pratiques en formation</w:t>
      </w:r>
      <w:r>
        <w:rPr>
          <w:rFonts w:ascii="Times New Roman" w:hAnsi="Times New Roman" w:cs="Times New Roman"/>
        </w:rPr>
        <w:t>.</w:t>
      </w:r>
      <w:r w:rsidR="00893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méthodologie de la recherche a consisté à récolter plusieurs types de traces </w:t>
      </w:r>
      <w:r>
        <w:rPr>
          <w:rFonts w:ascii="Times New Roman" w:hAnsi="Times New Roman" w:cs="Times New Roman"/>
        </w:rPr>
        <w:t xml:space="preserve">(entretiens ante/post leçon, enregistrement de 2 leçons </w:t>
      </w:r>
      <w:r w:rsidR="00893B6D">
        <w:rPr>
          <w:rFonts w:ascii="Times New Roman" w:hAnsi="Times New Roman" w:cs="Times New Roman"/>
        </w:rPr>
        <w:t xml:space="preserve">en </w:t>
      </w:r>
      <w:r w:rsidR="00893B6D">
        <w:rPr>
          <w:rFonts w:ascii="Times New Roman" w:hAnsi="Times New Roman" w:cs="Times New Roman"/>
        </w:rPr>
        <w:t>classe de CM1/CM2</w:t>
      </w:r>
      <w:r w:rsidR="00893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chez chaque PE, </w:t>
      </w:r>
      <w:r w:rsidRPr="00C67FDD">
        <w:rPr>
          <w:rFonts w:ascii="Times New Roman" w:hAnsi="Times New Roman" w:cs="Times New Roman"/>
        </w:rPr>
        <w:t>entretiens d’auto-confrontation (EAC)</w:t>
      </w:r>
      <w:r>
        <w:rPr>
          <w:rFonts w:ascii="Times New Roman" w:hAnsi="Times New Roman" w:cs="Times New Roman"/>
        </w:rPr>
        <w:t xml:space="preserve"> composites</w:t>
      </w:r>
      <w:r w:rsidRPr="00C67FDD">
        <w:rPr>
          <w:rFonts w:ascii="Times New Roman" w:hAnsi="Times New Roman" w:cs="Times New Roman"/>
        </w:rPr>
        <w:t xml:space="preserve"> simples</w:t>
      </w:r>
      <w:r>
        <w:rPr>
          <w:rFonts w:ascii="Times New Roman" w:hAnsi="Times New Roman" w:cs="Times New Roman"/>
        </w:rPr>
        <w:t xml:space="preserve"> et croisés</w:t>
      </w:r>
      <w:r>
        <w:rPr>
          <w:rFonts w:ascii="Times New Roman" w:hAnsi="Times New Roman" w:cs="Times New Roman"/>
        </w:rPr>
        <w:t xml:space="preserve">. Les résultats </w:t>
      </w:r>
      <w:r w:rsidR="00893B6D" w:rsidRPr="007D3AE9">
        <w:rPr>
          <w:rFonts w:ascii="Times New Roman" w:hAnsi="Times New Roman" w:cs="Times New Roman"/>
        </w:rPr>
        <w:t xml:space="preserve">montrent que les </w:t>
      </w:r>
      <w:r w:rsidR="00893B6D">
        <w:rPr>
          <w:rFonts w:ascii="Times New Roman" w:hAnsi="Times New Roman" w:cs="Times New Roman"/>
        </w:rPr>
        <w:t xml:space="preserve">deux PES </w:t>
      </w:r>
      <w:r w:rsidR="00893B6D" w:rsidRPr="007D3AE9">
        <w:rPr>
          <w:rFonts w:ascii="Times New Roman" w:hAnsi="Times New Roman" w:cs="Times New Roman"/>
        </w:rPr>
        <w:t>saisissent le temps de l’EAC comme une opportunité pour partager leurs expériences</w:t>
      </w:r>
      <w:r w:rsidR="00893B6D">
        <w:rPr>
          <w:rFonts w:ascii="Times New Roman" w:hAnsi="Times New Roman" w:cs="Times New Roman"/>
        </w:rPr>
        <w:t xml:space="preserve">, </w:t>
      </w:r>
      <w:r w:rsidR="00893B6D" w:rsidRPr="007D3AE9">
        <w:rPr>
          <w:rFonts w:ascii="Times New Roman" w:hAnsi="Times New Roman" w:cs="Times New Roman"/>
        </w:rPr>
        <w:t xml:space="preserve">se soutenir mutuellement, </w:t>
      </w:r>
      <w:r w:rsidR="00893B6D">
        <w:rPr>
          <w:rFonts w:ascii="Times New Roman" w:hAnsi="Times New Roman" w:cs="Times New Roman"/>
        </w:rPr>
        <w:t>et</w:t>
      </w:r>
      <w:r w:rsidR="00893B6D" w:rsidRPr="007D3AE9">
        <w:rPr>
          <w:rFonts w:ascii="Times New Roman" w:hAnsi="Times New Roman" w:cs="Times New Roman"/>
        </w:rPr>
        <w:t xml:space="preserve"> proposer </w:t>
      </w:r>
      <w:r w:rsidR="00893B6D">
        <w:rPr>
          <w:rFonts w:ascii="Times New Roman" w:hAnsi="Times New Roman" w:cs="Times New Roman"/>
        </w:rPr>
        <w:t xml:space="preserve">à l’autre des ressources. Ils révèlent aussi les difficultés des stagiaires à se centrer </w:t>
      </w:r>
      <w:r w:rsidR="00893B6D">
        <w:rPr>
          <w:rFonts w:ascii="Times New Roman" w:hAnsi="Times New Roman" w:cs="Times New Roman"/>
        </w:rPr>
        <w:t xml:space="preserve">sur </w:t>
      </w:r>
      <w:r w:rsidR="00893B6D">
        <w:rPr>
          <w:rFonts w:ascii="Times New Roman" w:hAnsi="Times New Roman" w:cs="Times New Roman"/>
        </w:rPr>
        <w:t>l</w:t>
      </w:r>
      <w:r w:rsidR="00893B6D">
        <w:rPr>
          <w:rFonts w:ascii="Times New Roman" w:hAnsi="Times New Roman" w:cs="Times New Roman"/>
        </w:rPr>
        <w:t>es questions didactiques</w:t>
      </w:r>
      <w:r w:rsidR="00893B6D">
        <w:rPr>
          <w:rFonts w:ascii="Times New Roman" w:hAnsi="Times New Roman" w:cs="Times New Roman"/>
        </w:rPr>
        <w:t xml:space="preserve">. </w:t>
      </w:r>
      <w:r w:rsidR="005E6495">
        <w:rPr>
          <w:rFonts w:ascii="Times New Roman" w:hAnsi="Times New Roman" w:cs="Times New Roman"/>
        </w:rPr>
        <w:t xml:space="preserve">Nous nous demanderons enfin en quoi les dimensions comparatives peuvent contribuer à la formation des enseignants. </w:t>
      </w:r>
    </w:p>
    <w:p w:rsidR="005E6495" w:rsidRDefault="005E6495" w:rsidP="00893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5BD8" w:rsidRDefault="00555BD8" w:rsidP="008A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BC8" w:rsidRDefault="008A137C" w:rsidP="008A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857165" w:rsidRDefault="007A1BC8" w:rsidP="008A13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Depuis les années 90</w:t>
      </w:r>
      <w:proofErr w:type="gramStart"/>
      <w:r>
        <w:rPr>
          <w:rFonts w:ascii="Times New Roman" w:hAnsi="Times New Roman" w:cs="Times New Roman"/>
        </w:rPr>
        <w:t>,</w:t>
      </w:r>
      <w:r w:rsidRPr="00840E10">
        <w:rPr>
          <w:rFonts w:ascii="Times New Roman" w:hAnsi="Times New Roman" w:cs="Times New Roman"/>
        </w:rPr>
        <w:t>:</w:t>
      </w:r>
      <w:proofErr w:type="gramEnd"/>
      <w:r w:rsidRPr="00840E10">
        <w:rPr>
          <w:rFonts w:ascii="Times New Roman" w:hAnsi="Times New Roman" w:cs="Times New Roman"/>
        </w:rPr>
        <w:t xml:space="preserve"> dé</w:t>
      </w:r>
      <w:r>
        <w:rPr>
          <w:rFonts w:ascii="Times New Roman" w:hAnsi="Times New Roman" w:cs="Times New Roman"/>
        </w:rPr>
        <w:t>veloppement professionnel, référentiel de compétences, gestes professionnels, construction de l’expérience</w:t>
      </w:r>
      <w:r w:rsidRPr="001B216F">
        <w:rPr>
          <w:rFonts w:ascii="Times New Roman" w:hAnsi="Times New Roman" w:cs="Times New Roman"/>
        </w:rPr>
        <w:t xml:space="preserve">, etc., autant de notions clés qui </w:t>
      </w:r>
      <w:r>
        <w:rPr>
          <w:rFonts w:ascii="Times New Roman" w:hAnsi="Times New Roman" w:cs="Times New Roman"/>
        </w:rPr>
        <w:t>intéressent vivement les chercheurs. Ces recherches s’inscrivent dans des approches théoriques et méthodologiques plurielles (</w:t>
      </w:r>
      <w:r w:rsidRPr="00FF4854">
        <w:rPr>
          <w:rFonts w:ascii="Times New Roman" w:hAnsi="Times New Roman" w:cs="Times New Roman"/>
        </w:rPr>
        <w:t>anthropologie cognitive,</w:t>
      </w:r>
      <w:r w:rsidR="001E4496">
        <w:rPr>
          <w:rFonts w:ascii="Times New Roman" w:hAnsi="Times New Roman" w:cs="Times New Roman"/>
        </w:rPr>
        <w:t xml:space="preserve"> ergonomie, </w:t>
      </w:r>
      <w:r w:rsidRPr="00FF4854">
        <w:rPr>
          <w:rFonts w:ascii="Times New Roman" w:hAnsi="Times New Roman" w:cs="Times New Roman"/>
        </w:rPr>
        <w:t>clin</w:t>
      </w:r>
      <w:r>
        <w:rPr>
          <w:rFonts w:ascii="Times New Roman" w:hAnsi="Times New Roman" w:cs="Times New Roman"/>
        </w:rPr>
        <w:t xml:space="preserve">ique de l’activité, didactiques, </w:t>
      </w:r>
      <w:r w:rsidRPr="00FF4854">
        <w:rPr>
          <w:rFonts w:ascii="Times New Roman" w:hAnsi="Times New Roman" w:cs="Times New Roman"/>
        </w:rPr>
        <w:t>sémio</w:t>
      </w:r>
      <w:r>
        <w:rPr>
          <w:rFonts w:ascii="Times New Roman" w:hAnsi="Times New Roman" w:cs="Times New Roman"/>
        </w:rPr>
        <w:t xml:space="preserve">logie, sémiotique, </w:t>
      </w:r>
      <w:r w:rsidRPr="00FF4854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..)</w:t>
      </w:r>
      <w:r w:rsidR="00240E4C">
        <w:rPr>
          <w:rFonts w:ascii="Times New Roman" w:hAnsi="Times New Roman" w:cs="Times New Roman"/>
        </w:rPr>
        <w:t xml:space="preserve">, voire de plus en plus dans </w:t>
      </w:r>
      <w:r w:rsidR="00240E4C">
        <w:rPr>
          <w:rFonts w:ascii="Times New Roman" w:hAnsi="Times New Roman" w:cs="Times New Roman"/>
        </w:rPr>
        <w:t xml:space="preserve">des cadres </w:t>
      </w:r>
      <w:r w:rsidR="005E6495">
        <w:rPr>
          <w:rFonts w:ascii="Times New Roman" w:hAnsi="Times New Roman" w:cs="Times New Roman"/>
        </w:rPr>
        <w:t xml:space="preserve">théoriques </w:t>
      </w:r>
      <w:proofErr w:type="spellStart"/>
      <w:r w:rsidR="005E6495">
        <w:rPr>
          <w:rFonts w:ascii="Times New Roman" w:hAnsi="Times New Roman" w:cs="Times New Roman"/>
        </w:rPr>
        <w:t>pluri-disciplinaires</w:t>
      </w:r>
      <w:proofErr w:type="spellEnd"/>
      <w:r w:rsidR="00240E4C">
        <w:rPr>
          <w:rFonts w:ascii="Times New Roman" w:hAnsi="Times New Roman" w:cs="Times New Roman"/>
        </w:rPr>
        <w:t xml:space="preserve"> (</w:t>
      </w:r>
      <w:proofErr w:type="spellStart"/>
      <w:r w:rsidR="00240E4C">
        <w:rPr>
          <w:rFonts w:ascii="Times New Roman" w:hAnsi="Times New Roman" w:cs="Times New Roman"/>
        </w:rPr>
        <w:t>Bucheton</w:t>
      </w:r>
      <w:proofErr w:type="spellEnd"/>
      <w:r w:rsidR="00240E4C">
        <w:rPr>
          <w:rFonts w:ascii="Times New Roman" w:hAnsi="Times New Roman" w:cs="Times New Roman"/>
        </w:rPr>
        <w:t xml:space="preserve"> &amp; Soulé, 2009 ; Robert &amp; </w:t>
      </w:r>
      <w:proofErr w:type="spellStart"/>
      <w:r w:rsidR="00240E4C">
        <w:rPr>
          <w:rFonts w:ascii="Times New Roman" w:hAnsi="Times New Roman" w:cs="Times New Roman"/>
        </w:rPr>
        <w:t>Rogalski</w:t>
      </w:r>
      <w:proofErr w:type="spellEnd"/>
      <w:r w:rsidR="00240E4C">
        <w:rPr>
          <w:rFonts w:ascii="Times New Roman" w:hAnsi="Times New Roman" w:cs="Times New Roman"/>
        </w:rPr>
        <w:t xml:space="preserve">, 2002 ; </w:t>
      </w:r>
      <w:proofErr w:type="spellStart"/>
      <w:r w:rsidR="00240E4C">
        <w:rPr>
          <w:rFonts w:ascii="Times New Roman" w:hAnsi="Times New Roman" w:cs="Times New Roman"/>
        </w:rPr>
        <w:t>Brau</w:t>
      </w:r>
      <w:proofErr w:type="spellEnd"/>
      <w:r w:rsidR="00240E4C">
        <w:rPr>
          <w:rFonts w:ascii="Times New Roman" w:hAnsi="Times New Roman" w:cs="Times New Roman"/>
        </w:rPr>
        <w:t>-Antony</w:t>
      </w:r>
      <w:r w:rsidR="00555BD8">
        <w:rPr>
          <w:rFonts w:ascii="Times New Roman" w:hAnsi="Times New Roman" w:cs="Times New Roman"/>
        </w:rPr>
        <w:t>, 2015</w:t>
      </w:r>
      <w:r w:rsidR="00240E4C">
        <w:rPr>
          <w:rFonts w:ascii="Times New Roman" w:hAnsi="Times New Roman" w:cs="Times New Roman"/>
        </w:rPr>
        <w:t>)</w:t>
      </w:r>
      <w:r w:rsidR="00240E4C">
        <w:rPr>
          <w:rFonts w:ascii="Times New Roman" w:hAnsi="Times New Roman" w:cs="Times New Roman"/>
        </w:rPr>
        <w:t xml:space="preserve"> </w:t>
      </w:r>
      <w:r w:rsidRPr="00EA6904">
        <w:rPr>
          <w:rFonts w:ascii="Times New Roman" w:hAnsi="Times New Roman" w:cs="Times New Roman"/>
        </w:rPr>
        <w:t xml:space="preserve">et </w:t>
      </w:r>
      <w:r w:rsidR="00240E4C">
        <w:rPr>
          <w:rFonts w:ascii="Times New Roman" w:hAnsi="Times New Roman" w:cs="Times New Roman"/>
        </w:rPr>
        <w:t xml:space="preserve">visent, par des techniques d’entretien variées, à </w:t>
      </w:r>
      <w:r w:rsidR="00555BD8">
        <w:rPr>
          <w:rFonts w:ascii="Times New Roman" w:hAnsi="Times New Roman" w:cs="Times New Roman"/>
        </w:rPr>
        <w:t xml:space="preserve">former le </w:t>
      </w:r>
      <w:r w:rsidR="00555BD8" w:rsidRPr="00555BD8">
        <w:rPr>
          <w:rFonts w:ascii="Times New Roman" w:hAnsi="Times New Roman" w:cs="Times New Roman"/>
          <w:i/>
        </w:rPr>
        <w:t>praticien réflexif</w:t>
      </w:r>
      <w:r w:rsidR="004E0DD8">
        <w:rPr>
          <w:rFonts w:ascii="Times New Roman" w:hAnsi="Times New Roman" w:cs="Times New Roman"/>
        </w:rPr>
        <w:t>.</w:t>
      </w:r>
      <w:r w:rsidR="003E6183">
        <w:rPr>
          <w:rFonts w:ascii="Times New Roman" w:hAnsi="Times New Roman" w:cs="Times New Roman"/>
        </w:rPr>
        <w:t xml:space="preserve"> D’autres </w:t>
      </w:r>
      <w:r w:rsidR="00240E4C">
        <w:rPr>
          <w:rFonts w:ascii="Times New Roman" w:hAnsi="Times New Roman" w:cs="Times New Roman"/>
        </w:rPr>
        <w:t xml:space="preserve">recherches </w:t>
      </w:r>
      <w:r w:rsidR="003E6183">
        <w:rPr>
          <w:rFonts w:ascii="Times New Roman" w:hAnsi="Times New Roman" w:cs="Times New Roman"/>
        </w:rPr>
        <w:t xml:space="preserve">se situent </w:t>
      </w:r>
      <w:r w:rsidR="00240E4C">
        <w:rPr>
          <w:rFonts w:ascii="Times New Roman" w:hAnsi="Times New Roman" w:cs="Times New Roman"/>
        </w:rPr>
        <w:t xml:space="preserve">dans </w:t>
      </w:r>
      <w:r>
        <w:rPr>
          <w:rFonts w:ascii="Times New Roman" w:hAnsi="Times New Roman" w:cs="Times New Roman"/>
        </w:rPr>
        <w:t>une tradition davantage descriptive, c</w:t>
      </w:r>
      <w:r w:rsidR="004E0DD8">
        <w:rPr>
          <w:rFonts w:ascii="Times New Roman" w:hAnsi="Times New Roman" w:cs="Times New Roman"/>
        </w:rPr>
        <w:t>ompréhensive ou explicative</w:t>
      </w:r>
      <w:r>
        <w:rPr>
          <w:rFonts w:ascii="Times New Roman" w:hAnsi="Times New Roman" w:cs="Times New Roman"/>
        </w:rPr>
        <w:t xml:space="preserve"> des pratiques enseignantes</w:t>
      </w:r>
      <w:r w:rsidR="002B62ED">
        <w:rPr>
          <w:rFonts w:ascii="Times New Roman" w:hAnsi="Times New Roman" w:cs="Times New Roman"/>
        </w:rPr>
        <w:t xml:space="preserve"> (</w:t>
      </w:r>
      <w:r w:rsidR="00663579" w:rsidRPr="00501774">
        <w:rPr>
          <w:rFonts w:ascii="Times New Roman" w:hAnsi="Times New Roman" w:cs="Times New Roman"/>
        </w:rPr>
        <w:t xml:space="preserve">Mercier, </w:t>
      </w:r>
      <w:proofErr w:type="spellStart"/>
      <w:r w:rsidR="00663579" w:rsidRPr="00501774">
        <w:rPr>
          <w:rFonts w:ascii="Times New Roman" w:hAnsi="Times New Roman" w:cs="Times New Roman"/>
        </w:rPr>
        <w:t>Schubauer</w:t>
      </w:r>
      <w:proofErr w:type="spellEnd"/>
      <w:r w:rsidR="00663579" w:rsidRPr="00501774">
        <w:rPr>
          <w:rFonts w:ascii="Times New Roman" w:hAnsi="Times New Roman" w:cs="Times New Roman"/>
        </w:rPr>
        <w:t xml:space="preserve">-Leoni et </w:t>
      </w:r>
      <w:proofErr w:type="spellStart"/>
      <w:r w:rsidR="00663579" w:rsidRPr="00501774">
        <w:rPr>
          <w:rFonts w:ascii="Times New Roman" w:hAnsi="Times New Roman" w:cs="Times New Roman"/>
        </w:rPr>
        <w:t>Sensevy</w:t>
      </w:r>
      <w:proofErr w:type="spellEnd"/>
      <w:r w:rsidR="00663579" w:rsidRPr="00501774">
        <w:rPr>
          <w:rFonts w:ascii="Times New Roman" w:hAnsi="Times New Roman" w:cs="Times New Roman"/>
        </w:rPr>
        <w:t>, 2002</w:t>
      </w:r>
      <w:r w:rsidR="002534AC">
        <w:rPr>
          <w:rFonts w:ascii="Times New Roman" w:hAnsi="Times New Roman" w:cs="Times New Roman"/>
        </w:rPr>
        <w:t>) ou du « curriculum en train de se faire » (</w:t>
      </w:r>
      <w:r w:rsidR="004E0DD8">
        <w:rPr>
          <w:rFonts w:ascii="Times New Roman" w:hAnsi="Times New Roman" w:cs="Times New Roman"/>
        </w:rPr>
        <w:t>Amade-Escot &amp; Brière, 2014</w:t>
      </w:r>
      <w:r w:rsidR="00030C88">
        <w:rPr>
          <w:rFonts w:ascii="Times New Roman" w:hAnsi="Times New Roman" w:cs="Times New Roman"/>
        </w:rPr>
        <w:t>)</w:t>
      </w:r>
      <w:r w:rsidR="00182B53">
        <w:rPr>
          <w:rFonts w:ascii="Times New Roman" w:hAnsi="Times New Roman" w:cs="Times New Roman"/>
        </w:rPr>
        <w:t xml:space="preserve"> : </w:t>
      </w:r>
      <w:r w:rsidR="00240E4C">
        <w:rPr>
          <w:rFonts w:ascii="Times New Roman" w:hAnsi="Times New Roman" w:cs="Times New Roman"/>
        </w:rPr>
        <w:t>par conséquent</w:t>
      </w:r>
      <w:r w:rsidR="00182B53">
        <w:rPr>
          <w:rFonts w:ascii="Times New Roman" w:hAnsi="Times New Roman" w:cs="Times New Roman"/>
        </w:rPr>
        <w:t xml:space="preserve">, des perspectives de formation </w:t>
      </w:r>
      <w:r w:rsidR="00AC570E">
        <w:rPr>
          <w:rFonts w:ascii="Times New Roman" w:hAnsi="Times New Roman" w:cs="Times New Roman"/>
        </w:rPr>
        <w:t>sont esquissées</w:t>
      </w:r>
      <w:r w:rsidR="00182B53">
        <w:rPr>
          <w:rFonts w:ascii="Times New Roman" w:hAnsi="Times New Roman" w:cs="Times New Roman"/>
        </w:rPr>
        <w:t xml:space="preserve">, mais celles-ci font </w:t>
      </w:r>
      <w:r w:rsidR="002534AC">
        <w:rPr>
          <w:rFonts w:ascii="Times New Roman" w:hAnsi="Times New Roman" w:cs="Times New Roman"/>
        </w:rPr>
        <w:t xml:space="preserve">plus </w:t>
      </w:r>
      <w:r w:rsidR="00182B53">
        <w:rPr>
          <w:rFonts w:ascii="Times New Roman" w:hAnsi="Times New Roman" w:cs="Times New Roman"/>
        </w:rPr>
        <w:t xml:space="preserve">rarement l’objet de nouvelles recherches </w:t>
      </w:r>
      <w:r w:rsidR="00240E4C">
        <w:rPr>
          <w:rFonts w:ascii="Times New Roman" w:hAnsi="Times New Roman" w:cs="Times New Roman"/>
        </w:rPr>
        <w:t xml:space="preserve">à visée </w:t>
      </w:r>
      <w:r w:rsidR="00182B53">
        <w:rPr>
          <w:rFonts w:ascii="Times New Roman" w:hAnsi="Times New Roman" w:cs="Times New Roman"/>
        </w:rPr>
        <w:t xml:space="preserve">formative. </w:t>
      </w:r>
      <w:r w:rsidR="00240E4C">
        <w:rPr>
          <w:rFonts w:ascii="Times New Roman" w:hAnsi="Times New Roman" w:cs="Times New Roman"/>
        </w:rPr>
        <w:t>Dans le contexte actuel, i</w:t>
      </w:r>
      <w:r w:rsidR="00182B53">
        <w:rPr>
          <w:rFonts w:ascii="Times New Roman" w:hAnsi="Times New Roman" w:cs="Times New Roman"/>
        </w:rPr>
        <w:t>l devient urgent de questionner la place de la question essentielle de la diffusion/appropriation des savoirs à l’école dans la formation des enseignants (</w:t>
      </w:r>
      <w:proofErr w:type="spellStart"/>
      <w:r w:rsidR="00182B53">
        <w:rPr>
          <w:rFonts w:ascii="Times New Roman" w:hAnsi="Times New Roman" w:cs="Times New Roman"/>
        </w:rPr>
        <w:t>Martinand</w:t>
      </w:r>
      <w:proofErr w:type="spellEnd"/>
      <w:r w:rsidR="00182B53">
        <w:rPr>
          <w:rFonts w:ascii="Times New Roman" w:hAnsi="Times New Roman" w:cs="Times New Roman"/>
        </w:rPr>
        <w:t>, 2014).</w:t>
      </w:r>
      <w:r w:rsidR="00182B53" w:rsidRPr="00182B53">
        <w:rPr>
          <w:rFonts w:ascii="Times New Roman" w:hAnsi="Times New Roman" w:cs="Times New Roman"/>
        </w:rPr>
        <w:t xml:space="preserve"> </w:t>
      </w:r>
      <w:r w:rsidR="00182B53">
        <w:rPr>
          <w:rFonts w:ascii="Times New Roman" w:hAnsi="Times New Roman" w:cs="Times New Roman"/>
        </w:rPr>
        <w:t xml:space="preserve">En effet, </w:t>
      </w:r>
      <w:r w:rsidR="00F80CC5">
        <w:rPr>
          <w:rFonts w:ascii="Times New Roman" w:hAnsi="Times New Roman" w:cs="Times New Roman"/>
        </w:rPr>
        <w:t xml:space="preserve">dans un certain nombre de </w:t>
      </w:r>
      <w:r w:rsidR="001E4496">
        <w:rPr>
          <w:rFonts w:ascii="Times New Roman" w:hAnsi="Times New Roman" w:cs="Times New Roman"/>
        </w:rPr>
        <w:t>dispositifs d’analyse de pratique, la question des savoirs</w:t>
      </w:r>
      <w:r w:rsidR="008A137C">
        <w:rPr>
          <w:rFonts w:ascii="Times New Roman" w:hAnsi="Times New Roman" w:cs="Times New Roman"/>
        </w:rPr>
        <w:t xml:space="preserve"> est souvent reléguée au second plan, voire même absente</w:t>
      </w:r>
      <w:r w:rsidR="005E6495">
        <w:rPr>
          <w:rFonts w:ascii="Times New Roman" w:hAnsi="Times New Roman" w:cs="Times New Roman"/>
        </w:rPr>
        <w:t>.</w:t>
      </w:r>
    </w:p>
    <w:p w:rsidR="008A137C" w:rsidRDefault="001E4496" w:rsidP="00F14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cette recherche</w:t>
      </w:r>
      <w:r w:rsidR="002E2F41">
        <w:rPr>
          <w:rFonts w:ascii="Times New Roman" w:hAnsi="Times New Roman" w:cs="Times New Roman"/>
        </w:rPr>
        <w:t xml:space="preserve"> exploratoire</w:t>
      </w:r>
      <w:r w:rsidR="00C67FDD">
        <w:rPr>
          <w:rFonts w:ascii="Times New Roman" w:hAnsi="Times New Roman" w:cs="Times New Roman"/>
        </w:rPr>
        <w:t xml:space="preserve">, </w:t>
      </w:r>
      <w:r w:rsidR="002B62ED">
        <w:rPr>
          <w:rFonts w:ascii="Times New Roman" w:hAnsi="Times New Roman" w:cs="Times New Roman"/>
        </w:rPr>
        <w:t xml:space="preserve">selon </w:t>
      </w:r>
      <w:r w:rsidR="00C67FDD">
        <w:rPr>
          <w:rFonts w:ascii="Times New Roman" w:hAnsi="Times New Roman" w:cs="Times New Roman"/>
        </w:rPr>
        <w:t>une double dimension comparative</w:t>
      </w:r>
      <w:r w:rsidR="002B62ED">
        <w:rPr>
          <w:rFonts w:ascii="Times New Roman" w:hAnsi="Times New Roman" w:cs="Times New Roman"/>
        </w:rPr>
        <w:t xml:space="preserve">, nous étudions </w:t>
      </w:r>
      <w:r w:rsidR="008A137C">
        <w:rPr>
          <w:rFonts w:ascii="Times New Roman" w:hAnsi="Times New Roman" w:cs="Times New Roman"/>
        </w:rPr>
        <w:t>l’activité de deux professeurs des écoles stagiaires (PES) dans deux disciplines</w:t>
      </w:r>
      <w:r w:rsidR="002B62ED">
        <w:rPr>
          <w:rFonts w:ascii="Times New Roman" w:hAnsi="Times New Roman" w:cs="Times New Roman"/>
        </w:rPr>
        <w:t>, les mathématiques et l’EPS</w:t>
      </w:r>
      <w:r w:rsidR="008A137C">
        <w:rPr>
          <w:rFonts w:ascii="Times New Roman" w:hAnsi="Times New Roman" w:cs="Times New Roman"/>
        </w:rPr>
        <w:t xml:space="preserve"> </w:t>
      </w:r>
      <w:r w:rsidR="00C67FDD">
        <w:rPr>
          <w:rFonts w:ascii="Times New Roman" w:hAnsi="Times New Roman" w:cs="Times New Roman"/>
        </w:rPr>
        <w:t>selon une visée</w:t>
      </w:r>
      <w:r w:rsidR="002B62ED">
        <w:rPr>
          <w:rFonts w:ascii="Times New Roman" w:hAnsi="Times New Roman" w:cs="Times New Roman"/>
        </w:rPr>
        <w:t xml:space="preserve"> d’abord </w:t>
      </w:r>
      <w:r w:rsidR="00C67FDD">
        <w:rPr>
          <w:rFonts w:ascii="Times New Roman" w:hAnsi="Times New Roman" w:cs="Times New Roman"/>
        </w:rPr>
        <w:t xml:space="preserve">compréhensive </w:t>
      </w:r>
      <w:r w:rsidR="008A137C">
        <w:rPr>
          <w:rFonts w:ascii="Times New Roman" w:hAnsi="Times New Roman" w:cs="Times New Roman"/>
        </w:rPr>
        <w:t xml:space="preserve">pour mettre au jour </w:t>
      </w:r>
      <w:r w:rsidR="002B62ED">
        <w:rPr>
          <w:rFonts w:ascii="Times New Roman" w:hAnsi="Times New Roman" w:cs="Times New Roman"/>
        </w:rPr>
        <w:t>d</w:t>
      </w:r>
      <w:r w:rsidR="008A137C">
        <w:rPr>
          <w:rFonts w:ascii="Times New Roman" w:hAnsi="Times New Roman" w:cs="Times New Roman"/>
        </w:rPr>
        <w:t>es généricités et spécificités</w:t>
      </w:r>
      <w:r w:rsidR="00C503DA">
        <w:rPr>
          <w:rFonts w:ascii="Times New Roman" w:hAnsi="Times New Roman" w:cs="Times New Roman"/>
        </w:rPr>
        <w:t xml:space="preserve"> dans</w:t>
      </w:r>
      <w:r w:rsidR="00F14D94">
        <w:rPr>
          <w:rFonts w:ascii="Times New Roman" w:hAnsi="Times New Roman" w:cs="Times New Roman"/>
        </w:rPr>
        <w:t xml:space="preserve"> l’agir professoral</w:t>
      </w:r>
      <w:r w:rsidR="002534AC">
        <w:rPr>
          <w:rFonts w:ascii="Times New Roman" w:hAnsi="Times New Roman" w:cs="Times New Roman"/>
        </w:rPr>
        <w:t xml:space="preserve"> (</w:t>
      </w:r>
      <w:proofErr w:type="spellStart"/>
      <w:r w:rsidR="002534AC">
        <w:rPr>
          <w:rFonts w:ascii="Times New Roman" w:hAnsi="Times New Roman" w:cs="Times New Roman"/>
        </w:rPr>
        <w:t>Bucheton</w:t>
      </w:r>
      <w:proofErr w:type="spellEnd"/>
      <w:r w:rsidR="002534AC">
        <w:rPr>
          <w:rFonts w:ascii="Times New Roman" w:hAnsi="Times New Roman" w:cs="Times New Roman"/>
        </w:rPr>
        <w:t xml:space="preserve"> &amp; Soulé, 2009)</w:t>
      </w:r>
      <w:r w:rsidR="00C67FDD">
        <w:rPr>
          <w:rFonts w:ascii="Times New Roman" w:hAnsi="Times New Roman" w:cs="Times New Roman"/>
        </w:rPr>
        <w:t xml:space="preserve">, </w:t>
      </w:r>
      <w:r w:rsidR="00741216">
        <w:rPr>
          <w:rFonts w:ascii="Times New Roman" w:hAnsi="Times New Roman" w:cs="Times New Roman"/>
        </w:rPr>
        <w:t xml:space="preserve">tout en questionnant la </w:t>
      </w:r>
      <w:r w:rsidR="00C67FDD">
        <w:rPr>
          <w:rFonts w:ascii="Times New Roman" w:hAnsi="Times New Roman" w:cs="Times New Roman"/>
        </w:rPr>
        <w:t xml:space="preserve">visée </w:t>
      </w:r>
      <w:r w:rsidR="002B62ED">
        <w:rPr>
          <w:rFonts w:ascii="Times New Roman" w:hAnsi="Times New Roman" w:cs="Times New Roman"/>
        </w:rPr>
        <w:t>tr</w:t>
      </w:r>
      <w:r w:rsidR="00741216">
        <w:rPr>
          <w:rFonts w:ascii="Times New Roman" w:hAnsi="Times New Roman" w:cs="Times New Roman"/>
        </w:rPr>
        <w:t>a</w:t>
      </w:r>
      <w:r w:rsidR="002B62ED">
        <w:rPr>
          <w:rFonts w:ascii="Times New Roman" w:hAnsi="Times New Roman" w:cs="Times New Roman"/>
        </w:rPr>
        <w:t>nsformative</w:t>
      </w:r>
      <w:r w:rsidR="007D3AE9">
        <w:rPr>
          <w:rFonts w:ascii="Times New Roman" w:hAnsi="Times New Roman" w:cs="Times New Roman"/>
        </w:rPr>
        <w:t xml:space="preserve">. </w:t>
      </w:r>
      <w:r w:rsidR="00857165" w:rsidRPr="00857165">
        <w:rPr>
          <w:rFonts w:ascii="Times New Roman" w:hAnsi="Times New Roman" w:cs="Times New Roman"/>
        </w:rPr>
        <w:t>L'étude des pratiques de professeurs novices intègre deux variables qui peu ou prou agissent comme des déterminants</w:t>
      </w:r>
      <w:r w:rsidR="00857165">
        <w:rPr>
          <w:rFonts w:ascii="Times New Roman" w:hAnsi="Times New Roman" w:cs="Times New Roman"/>
        </w:rPr>
        <w:t xml:space="preserve"> de la pratique professionnelle</w:t>
      </w:r>
      <w:r w:rsidR="00857165" w:rsidRPr="00857165">
        <w:rPr>
          <w:rFonts w:ascii="Times New Roman" w:hAnsi="Times New Roman" w:cs="Times New Roman"/>
        </w:rPr>
        <w:t xml:space="preserve"> : d'une part le rapport au savoir qui semble très lié à l'expérience d'élèves (Jou</w:t>
      </w:r>
      <w:r w:rsidR="00857165">
        <w:rPr>
          <w:rFonts w:ascii="Times New Roman" w:hAnsi="Times New Roman" w:cs="Times New Roman"/>
        </w:rPr>
        <w:t>r</w:t>
      </w:r>
      <w:r w:rsidR="00857165" w:rsidRPr="00857165">
        <w:rPr>
          <w:rFonts w:ascii="Times New Roman" w:hAnsi="Times New Roman" w:cs="Times New Roman"/>
        </w:rPr>
        <w:t>dan, 2008), d'autre part la formation qui n'est pas toujours adaptée notamment au niveau des prescriptions et des mises en œuvre (Garcia-</w:t>
      </w:r>
      <w:proofErr w:type="spellStart"/>
      <w:r w:rsidR="00857165" w:rsidRPr="00857165">
        <w:rPr>
          <w:rFonts w:ascii="Times New Roman" w:hAnsi="Times New Roman" w:cs="Times New Roman"/>
        </w:rPr>
        <w:t>Debanc</w:t>
      </w:r>
      <w:proofErr w:type="spellEnd"/>
      <w:r w:rsidR="00857165" w:rsidRPr="00857165">
        <w:rPr>
          <w:rFonts w:ascii="Times New Roman" w:hAnsi="Times New Roman" w:cs="Times New Roman"/>
        </w:rPr>
        <w:t>, 2008).</w:t>
      </w:r>
      <w:r w:rsidR="00843563">
        <w:rPr>
          <w:rFonts w:ascii="Times New Roman" w:hAnsi="Times New Roman" w:cs="Times New Roman"/>
        </w:rPr>
        <w:t xml:space="preserve"> </w:t>
      </w:r>
      <w:r w:rsidR="00030C88">
        <w:rPr>
          <w:rFonts w:ascii="Times New Roman" w:hAnsi="Times New Roman" w:cs="Times New Roman"/>
        </w:rPr>
        <w:t xml:space="preserve">Dans cette communication, nous centrons notre réflexion sur les </w:t>
      </w:r>
      <w:r w:rsidR="00240E4C">
        <w:rPr>
          <w:rFonts w:ascii="Times New Roman" w:hAnsi="Times New Roman" w:cs="Times New Roman"/>
        </w:rPr>
        <w:t xml:space="preserve">intérêts et les difficultés rencontrés </w:t>
      </w:r>
      <w:r w:rsidR="005E6495">
        <w:rPr>
          <w:rFonts w:ascii="Times New Roman" w:hAnsi="Times New Roman" w:cs="Times New Roman"/>
        </w:rPr>
        <w:t xml:space="preserve">par les novices </w:t>
      </w:r>
      <w:r w:rsidR="00240E4C">
        <w:rPr>
          <w:rFonts w:ascii="Times New Roman" w:hAnsi="Times New Roman" w:cs="Times New Roman"/>
        </w:rPr>
        <w:t>pour mettre en œuvre un dispositif</w:t>
      </w:r>
      <w:r w:rsidR="00030C88">
        <w:rPr>
          <w:rFonts w:ascii="Times New Roman" w:hAnsi="Times New Roman" w:cs="Times New Roman"/>
        </w:rPr>
        <w:t xml:space="preserve"> d’analyse </w:t>
      </w:r>
      <w:r w:rsidR="00240E4C">
        <w:rPr>
          <w:rFonts w:ascii="Times New Roman" w:hAnsi="Times New Roman" w:cs="Times New Roman"/>
        </w:rPr>
        <w:t xml:space="preserve">didactique </w:t>
      </w:r>
      <w:r w:rsidR="00030C88">
        <w:rPr>
          <w:rFonts w:ascii="Times New Roman" w:hAnsi="Times New Roman" w:cs="Times New Roman"/>
        </w:rPr>
        <w:t>des pratiques</w:t>
      </w:r>
      <w:r w:rsidR="00240E4C">
        <w:rPr>
          <w:rFonts w:ascii="Times New Roman" w:hAnsi="Times New Roman" w:cs="Times New Roman"/>
        </w:rPr>
        <w:t xml:space="preserve"> en formation</w:t>
      </w:r>
      <w:r w:rsidR="00030C88">
        <w:rPr>
          <w:rFonts w:ascii="Times New Roman" w:hAnsi="Times New Roman" w:cs="Times New Roman"/>
        </w:rPr>
        <w:t xml:space="preserve">. </w:t>
      </w:r>
    </w:p>
    <w:p w:rsidR="00182B53" w:rsidRDefault="008A137C" w:rsidP="00F14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Méthodologie</w:t>
      </w:r>
    </w:p>
    <w:p w:rsidR="008A137C" w:rsidRPr="00C67FDD" w:rsidRDefault="00C503DA" w:rsidP="00F14D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méthodologie de la recherche a consisté à récolter plusieurs types de traces relatifs </w:t>
      </w:r>
      <w:r w:rsidR="00EA5349">
        <w:rPr>
          <w:rFonts w:ascii="Times New Roman" w:hAnsi="Times New Roman" w:cs="Times New Roman"/>
        </w:rPr>
        <w:t xml:space="preserve">au </w:t>
      </w:r>
      <w:r w:rsidR="00EA5349" w:rsidRPr="00EA5349">
        <w:rPr>
          <w:rFonts w:ascii="Times New Roman" w:hAnsi="Times New Roman" w:cs="Times New Roman"/>
          <w:i/>
        </w:rPr>
        <w:t>curriculum en train de se faire</w:t>
      </w:r>
      <w:r w:rsidR="00EA5349">
        <w:rPr>
          <w:rFonts w:ascii="Times New Roman" w:hAnsi="Times New Roman" w:cs="Times New Roman"/>
        </w:rPr>
        <w:t xml:space="preserve">, chez </w:t>
      </w:r>
      <w:r>
        <w:rPr>
          <w:rFonts w:ascii="Times New Roman" w:hAnsi="Times New Roman" w:cs="Times New Roman"/>
        </w:rPr>
        <w:t>deux PES volontaires pour participer à cette recherche, puis à les mettre en relation :</w:t>
      </w:r>
      <w:r w:rsidR="002E2F41" w:rsidRPr="00C67FDD">
        <w:rPr>
          <w:rFonts w:ascii="Times New Roman" w:hAnsi="Times New Roman" w:cs="Times New Roman"/>
        </w:rPr>
        <w:t xml:space="preserve"> a) des données d’entretiens semi-directifs ante-leçon</w:t>
      </w:r>
      <w:r>
        <w:rPr>
          <w:rFonts w:ascii="Times New Roman" w:hAnsi="Times New Roman" w:cs="Times New Roman"/>
        </w:rPr>
        <w:t xml:space="preserve"> (1h15) </w:t>
      </w:r>
      <w:r w:rsidR="00F14D94">
        <w:rPr>
          <w:rFonts w:ascii="Times New Roman" w:hAnsi="Times New Roman" w:cs="Times New Roman"/>
        </w:rPr>
        <w:t>pour situer le parcours d</w:t>
      </w:r>
      <w:r w:rsidR="00240E4C">
        <w:rPr>
          <w:rFonts w:ascii="Times New Roman" w:hAnsi="Times New Roman" w:cs="Times New Roman"/>
        </w:rPr>
        <w:t>es</w:t>
      </w:r>
      <w:r w:rsidR="00F14D94">
        <w:rPr>
          <w:rFonts w:ascii="Times New Roman" w:hAnsi="Times New Roman" w:cs="Times New Roman"/>
        </w:rPr>
        <w:t xml:space="preserve"> PES, </w:t>
      </w:r>
      <w:r w:rsidR="00240E4C">
        <w:rPr>
          <w:rFonts w:ascii="Times New Roman" w:hAnsi="Times New Roman" w:cs="Times New Roman"/>
        </w:rPr>
        <w:t>leur</w:t>
      </w:r>
      <w:r w:rsidR="00F14D94">
        <w:rPr>
          <w:rFonts w:ascii="Times New Roman" w:hAnsi="Times New Roman" w:cs="Times New Roman"/>
        </w:rPr>
        <w:t>s expériences personnelles et professionnelles</w:t>
      </w:r>
      <w:r w:rsidR="002E2F41" w:rsidRPr="00C67FDD">
        <w:rPr>
          <w:rFonts w:ascii="Times New Roman" w:hAnsi="Times New Roman" w:cs="Times New Roman"/>
        </w:rPr>
        <w:t xml:space="preserve"> ; b) </w:t>
      </w:r>
      <w:r w:rsidR="00F14D94">
        <w:rPr>
          <w:rFonts w:ascii="Times New Roman" w:hAnsi="Times New Roman" w:cs="Times New Roman"/>
        </w:rPr>
        <w:t xml:space="preserve">des données relatives aux fiches de planification des leçons ; c) </w:t>
      </w:r>
      <w:r w:rsidR="002E2F41" w:rsidRPr="00C67FDD">
        <w:rPr>
          <w:rFonts w:ascii="Times New Roman" w:hAnsi="Times New Roman" w:cs="Times New Roman"/>
        </w:rPr>
        <w:t>des données d’observation issues d’enregistrements de deux leçons</w:t>
      </w:r>
      <w:r w:rsidR="00F14D94">
        <w:rPr>
          <w:rFonts w:ascii="Times New Roman" w:hAnsi="Times New Roman" w:cs="Times New Roman"/>
        </w:rPr>
        <w:t xml:space="preserve"> </w:t>
      </w:r>
      <w:r w:rsidR="00EA5349">
        <w:rPr>
          <w:rFonts w:ascii="Times New Roman" w:hAnsi="Times New Roman" w:cs="Times New Roman"/>
        </w:rPr>
        <w:t xml:space="preserve">en classe de CM1/CM2 </w:t>
      </w:r>
      <w:r w:rsidR="00F14D94">
        <w:rPr>
          <w:rFonts w:ascii="Times New Roman" w:hAnsi="Times New Roman" w:cs="Times New Roman"/>
        </w:rPr>
        <w:t>pour chaque PE, une en mathématiques et une en EPS</w:t>
      </w:r>
      <w:r w:rsidR="002E2F41" w:rsidRPr="00C67FDD">
        <w:rPr>
          <w:rFonts w:ascii="Times New Roman" w:hAnsi="Times New Roman" w:cs="Times New Roman"/>
        </w:rPr>
        <w:t xml:space="preserve"> ; </w:t>
      </w:r>
      <w:r w:rsidR="005E6495">
        <w:rPr>
          <w:rFonts w:ascii="Times New Roman" w:hAnsi="Times New Roman" w:cs="Times New Roman"/>
        </w:rPr>
        <w:t>d</w:t>
      </w:r>
      <w:r w:rsidR="002E2F41" w:rsidRPr="00C67FDD">
        <w:rPr>
          <w:rFonts w:ascii="Times New Roman" w:hAnsi="Times New Roman" w:cs="Times New Roman"/>
        </w:rPr>
        <w:t xml:space="preserve">) </w:t>
      </w:r>
      <w:r w:rsidR="00B364B3">
        <w:rPr>
          <w:rFonts w:ascii="Times New Roman" w:hAnsi="Times New Roman" w:cs="Times New Roman"/>
        </w:rPr>
        <w:t xml:space="preserve">des entretiens </w:t>
      </w:r>
      <w:r w:rsidR="00F14D94" w:rsidRPr="00C67FDD">
        <w:rPr>
          <w:rFonts w:ascii="Times New Roman" w:hAnsi="Times New Roman" w:cs="Times New Roman"/>
        </w:rPr>
        <w:t xml:space="preserve">semi-directifs </w:t>
      </w:r>
      <w:r w:rsidR="00B364B3">
        <w:rPr>
          <w:rFonts w:ascii="Times New Roman" w:hAnsi="Times New Roman" w:cs="Times New Roman"/>
        </w:rPr>
        <w:t xml:space="preserve">post-leçon ; </w:t>
      </w:r>
      <w:r w:rsidR="005E6495">
        <w:rPr>
          <w:rFonts w:ascii="Times New Roman" w:hAnsi="Times New Roman" w:cs="Times New Roman"/>
        </w:rPr>
        <w:t>e</w:t>
      </w:r>
      <w:r w:rsidR="00B364B3">
        <w:rPr>
          <w:rFonts w:ascii="Times New Roman" w:hAnsi="Times New Roman" w:cs="Times New Roman"/>
        </w:rPr>
        <w:t xml:space="preserve">) </w:t>
      </w:r>
      <w:r w:rsidR="002E2F41" w:rsidRPr="00C67FDD">
        <w:rPr>
          <w:rFonts w:ascii="Times New Roman" w:hAnsi="Times New Roman" w:cs="Times New Roman"/>
        </w:rPr>
        <w:t>de</w:t>
      </w:r>
      <w:r w:rsidR="00EE2E42">
        <w:rPr>
          <w:rFonts w:ascii="Times New Roman" w:hAnsi="Times New Roman" w:cs="Times New Roman"/>
        </w:rPr>
        <w:t>ux</w:t>
      </w:r>
      <w:r w:rsidR="002E2F41" w:rsidRPr="00C67FDD">
        <w:rPr>
          <w:rFonts w:ascii="Times New Roman" w:hAnsi="Times New Roman" w:cs="Times New Roman"/>
        </w:rPr>
        <w:t xml:space="preserve"> entretiens d’auto-confrontation (EAC)</w:t>
      </w:r>
      <w:r w:rsidR="00B364B3">
        <w:rPr>
          <w:rFonts w:ascii="Times New Roman" w:hAnsi="Times New Roman" w:cs="Times New Roman"/>
        </w:rPr>
        <w:t xml:space="preserve"> composites</w:t>
      </w:r>
      <w:r w:rsidR="002E2F41" w:rsidRPr="00C67FDD">
        <w:rPr>
          <w:rFonts w:ascii="Times New Roman" w:hAnsi="Times New Roman" w:cs="Times New Roman"/>
        </w:rPr>
        <w:t xml:space="preserve"> simples</w:t>
      </w:r>
      <w:r w:rsidR="00EE2E42">
        <w:rPr>
          <w:rFonts w:ascii="Times New Roman" w:hAnsi="Times New Roman" w:cs="Times New Roman"/>
        </w:rPr>
        <w:t xml:space="preserve"> et croisés </w:t>
      </w:r>
      <w:r w:rsidR="00F14D94">
        <w:rPr>
          <w:rFonts w:ascii="Times New Roman" w:hAnsi="Times New Roman" w:cs="Times New Roman"/>
        </w:rPr>
        <w:t>(2</w:t>
      </w:r>
      <w:r w:rsidR="00EE2E42">
        <w:rPr>
          <w:rFonts w:ascii="Times New Roman" w:hAnsi="Times New Roman" w:cs="Times New Roman"/>
        </w:rPr>
        <w:t xml:space="preserve"> heures</w:t>
      </w:r>
      <w:r w:rsidR="00F14D94">
        <w:rPr>
          <w:rFonts w:ascii="Times New Roman" w:hAnsi="Times New Roman" w:cs="Times New Roman"/>
        </w:rPr>
        <w:t>)</w:t>
      </w:r>
      <w:r w:rsidR="002E2F41" w:rsidRPr="00C67FDD">
        <w:rPr>
          <w:rFonts w:ascii="Times New Roman" w:hAnsi="Times New Roman" w:cs="Times New Roman"/>
        </w:rPr>
        <w:t>.</w:t>
      </w:r>
    </w:p>
    <w:p w:rsidR="008A137C" w:rsidRPr="007D3AE9" w:rsidRDefault="008A137C" w:rsidP="00F14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AE9">
        <w:rPr>
          <w:rFonts w:ascii="Times New Roman" w:hAnsi="Times New Roman" w:cs="Times New Roman"/>
        </w:rPr>
        <w:t>Résultats</w:t>
      </w:r>
    </w:p>
    <w:p w:rsidR="00030C88" w:rsidRPr="007D3AE9" w:rsidRDefault="00E32982" w:rsidP="00030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AE9">
        <w:rPr>
          <w:rFonts w:ascii="Times New Roman" w:hAnsi="Times New Roman" w:cs="Times New Roman"/>
        </w:rPr>
        <w:lastRenderedPageBreak/>
        <w:t xml:space="preserve">Les résultats, en cours de traitement, </w:t>
      </w:r>
      <w:r w:rsidR="00EE2E42" w:rsidRPr="007D3AE9">
        <w:rPr>
          <w:rFonts w:ascii="Times New Roman" w:hAnsi="Times New Roman" w:cs="Times New Roman"/>
        </w:rPr>
        <w:t xml:space="preserve">montrent que les </w:t>
      </w:r>
      <w:r w:rsidR="007D3AE9">
        <w:rPr>
          <w:rFonts w:ascii="Times New Roman" w:hAnsi="Times New Roman" w:cs="Times New Roman"/>
        </w:rPr>
        <w:t xml:space="preserve">deux PES </w:t>
      </w:r>
      <w:r w:rsidR="00FC3622" w:rsidRPr="007D3AE9">
        <w:rPr>
          <w:rFonts w:ascii="Times New Roman" w:hAnsi="Times New Roman" w:cs="Times New Roman"/>
        </w:rPr>
        <w:t xml:space="preserve">saisissent le temps de l’EAC comme une opportunité pour mettre en place différentes modalités d’interaction : a) partager leurs expériences et leurs difficultés, en particulier pour piloter la classe ; b) se soutenir mutuellement, s’encourager </w:t>
      </w:r>
      <w:r w:rsidR="007D3AE9">
        <w:rPr>
          <w:rFonts w:ascii="Times New Roman" w:hAnsi="Times New Roman" w:cs="Times New Roman"/>
        </w:rPr>
        <w:t xml:space="preserve">lors de l’analyse des </w:t>
      </w:r>
      <w:r w:rsidR="00FC3622" w:rsidRPr="007D3AE9">
        <w:rPr>
          <w:rFonts w:ascii="Times New Roman" w:hAnsi="Times New Roman" w:cs="Times New Roman"/>
        </w:rPr>
        <w:t>incidents critiques</w:t>
      </w:r>
      <w:r w:rsidR="007D3AE9">
        <w:rPr>
          <w:rFonts w:ascii="Times New Roman" w:hAnsi="Times New Roman" w:cs="Times New Roman"/>
        </w:rPr>
        <w:t xml:space="preserve"> pour</w:t>
      </w:r>
      <w:r w:rsidR="00FC3622" w:rsidRPr="007D3AE9">
        <w:rPr>
          <w:rFonts w:ascii="Times New Roman" w:hAnsi="Times New Roman" w:cs="Times New Roman"/>
        </w:rPr>
        <w:t xml:space="preserve"> développer leur reconnaissance professionnelle ; c) proposer </w:t>
      </w:r>
      <w:r w:rsidR="00CF61D0" w:rsidRPr="007D3AE9">
        <w:rPr>
          <w:rFonts w:ascii="Times New Roman" w:hAnsi="Times New Roman" w:cs="Times New Roman"/>
        </w:rPr>
        <w:t xml:space="preserve">à l’autre d’autres interprétations et </w:t>
      </w:r>
      <w:r w:rsidR="00FC3622" w:rsidRPr="007D3AE9">
        <w:rPr>
          <w:rFonts w:ascii="Times New Roman" w:hAnsi="Times New Roman" w:cs="Times New Roman"/>
        </w:rPr>
        <w:t xml:space="preserve">perspectives d’intervention à partir </w:t>
      </w:r>
      <w:r w:rsidR="00CF61D0" w:rsidRPr="007D3AE9">
        <w:rPr>
          <w:rFonts w:ascii="Times New Roman" w:hAnsi="Times New Roman" w:cs="Times New Roman"/>
        </w:rPr>
        <w:t>de s</w:t>
      </w:r>
      <w:r w:rsidR="007D3AE9">
        <w:rPr>
          <w:rFonts w:ascii="Times New Roman" w:hAnsi="Times New Roman" w:cs="Times New Roman"/>
        </w:rPr>
        <w:t>on</w:t>
      </w:r>
      <w:r w:rsidR="00CF61D0" w:rsidRPr="007D3AE9">
        <w:rPr>
          <w:rFonts w:ascii="Times New Roman" w:hAnsi="Times New Roman" w:cs="Times New Roman"/>
        </w:rPr>
        <w:t xml:space="preserve"> expérience</w:t>
      </w:r>
      <w:r w:rsidR="007D3AE9">
        <w:rPr>
          <w:rFonts w:ascii="Times New Roman" w:hAnsi="Times New Roman" w:cs="Times New Roman"/>
        </w:rPr>
        <w:t xml:space="preserve"> personnelle</w:t>
      </w:r>
      <w:r w:rsidR="00CF61D0" w:rsidRPr="007D3AE9">
        <w:rPr>
          <w:rFonts w:ascii="Times New Roman" w:hAnsi="Times New Roman" w:cs="Times New Roman"/>
        </w:rPr>
        <w:t xml:space="preserve">. </w:t>
      </w:r>
      <w:r w:rsidR="007D3AE9">
        <w:rPr>
          <w:rFonts w:ascii="Times New Roman" w:hAnsi="Times New Roman" w:cs="Times New Roman"/>
        </w:rPr>
        <w:t>L</w:t>
      </w:r>
      <w:r w:rsidR="00CF61D0" w:rsidRPr="007D3AE9">
        <w:rPr>
          <w:rFonts w:ascii="Times New Roman" w:hAnsi="Times New Roman" w:cs="Times New Roman"/>
        </w:rPr>
        <w:t xml:space="preserve">es </w:t>
      </w:r>
      <w:r w:rsidR="007D3AE9">
        <w:rPr>
          <w:rFonts w:ascii="Times New Roman" w:hAnsi="Times New Roman" w:cs="Times New Roman"/>
        </w:rPr>
        <w:t xml:space="preserve">PE ont tendance à </w:t>
      </w:r>
      <w:r w:rsidR="00F14D94">
        <w:rPr>
          <w:rFonts w:ascii="Times New Roman" w:hAnsi="Times New Roman" w:cs="Times New Roman"/>
        </w:rPr>
        <w:t>initier d</w:t>
      </w:r>
      <w:r w:rsidR="007D3AE9">
        <w:rPr>
          <w:rFonts w:ascii="Times New Roman" w:hAnsi="Times New Roman" w:cs="Times New Roman"/>
        </w:rPr>
        <w:t xml:space="preserve">es </w:t>
      </w:r>
      <w:r w:rsidR="00CF61D0" w:rsidRPr="007D3AE9">
        <w:rPr>
          <w:rFonts w:ascii="Times New Roman" w:hAnsi="Times New Roman" w:cs="Times New Roman"/>
        </w:rPr>
        <w:t xml:space="preserve">échanges </w:t>
      </w:r>
      <w:r w:rsidR="00E501E2">
        <w:rPr>
          <w:rFonts w:ascii="Times New Roman" w:hAnsi="Times New Roman" w:cs="Times New Roman"/>
        </w:rPr>
        <w:t>sur ce qui est significatif pour eux</w:t>
      </w:r>
      <w:r w:rsidR="00F14D94">
        <w:rPr>
          <w:rFonts w:ascii="Times New Roman" w:hAnsi="Times New Roman" w:cs="Times New Roman"/>
        </w:rPr>
        <w:t xml:space="preserve">, ce qui renvoie à </w:t>
      </w:r>
      <w:r w:rsidR="00F14D94" w:rsidRPr="007D3AE9">
        <w:rPr>
          <w:rFonts w:ascii="Times New Roman" w:hAnsi="Times New Roman" w:cs="Times New Roman"/>
        </w:rPr>
        <w:t>un réel besoin de la part des formés d’échanger sur leurs pratiques</w:t>
      </w:r>
      <w:r w:rsidR="00F14D94">
        <w:rPr>
          <w:rFonts w:ascii="Times New Roman" w:hAnsi="Times New Roman" w:cs="Times New Roman"/>
        </w:rPr>
        <w:t xml:space="preserve"> respectives</w:t>
      </w:r>
      <w:r w:rsidR="00F14D94" w:rsidRPr="007D3AE9">
        <w:rPr>
          <w:rFonts w:ascii="Times New Roman" w:hAnsi="Times New Roman" w:cs="Times New Roman"/>
        </w:rPr>
        <w:t xml:space="preserve">. </w:t>
      </w:r>
      <w:r w:rsidR="00F14D94">
        <w:rPr>
          <w:rFonts w:ascii="Times New Roman" w:hAnsi="Times New Roman" w:cs="Times New Roman"/>
        </w:rPr>
        <w:t xml:space="preserve">Lorsque les chercheurs les recentrent sur des questions </w:t>
      </w:r>
      <w:r w:rsidR="00030C88">
        <w:rPr>
          <w:rFonts w:ascii="Times New Roman" w:hAnsi="Times New Roman" w:cs="Times New Roman"/>
        </w:rPr>
        <w:t>didactiques</w:t>
      </w:r>
      <w:r w:rsidR="00B43B46">
        <w:rPr>
          <w:rFonts w:ascii="Times New Roman" w:hAnsi="Times New Roman" w:cs="Times New Roman"/>
        </w:rPr>
        <w:t>, i</w:t>
      </w:r>
      <w:r w:rsidR="00CF61D0" w:rsidRPr="007D3AE9">
        <w:rPr>
          <w:rFonts w:ascii="Times New Roman" w:hAnsi="Times New Roman" w:cs="Times New Roman"/>
        </w:rPr>
        <w:t xml:space="preserve">ls se sentent démunis pour savoir ce qu’il y a à enseigner et comment l’enseigner. </w:t>
      </w:r>
    </w:p>
    <w:p w:rsidR="00E32982" w:rsidRPr="007D3AE9" w:rsidRDefault="00552429" w:rsidP="00EE2E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AE9">
        <w:rPr>
          <w:rFonts w:ascii="Times New Roman" w:hAnsi="Times New Roman" w:cs="Times New Roman"/>
        </w:rPr>
        <w:t>Discussion</w:t>
      </w:r>
    </w:p>
    <w:p w:rsidR="00E32982" w:rsidRDefault="00552429" w:rsidP="00E329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AE9">
        <w:rPr>
          <w:rFonts w:ascii="Times New Roman" w:hAnsi="Times New Roman" w:cs="Times New Roman"/>
        </w:rPr>
        <w:t xml:space="preserve">Si le dispositif d’EAC permettait deux types de comparaison, les PE ont plus facilement </w:t>
      </w:r>
      <w:r w:rsidR="00501774">
        <w:rPr>
          <w:rFonts w:ascii="Times New Roman" w:hAnsi="Times New Roman" w:cs="Times New Roman"/>
        </w:rPr>
        <w:t xml:space="preserve">mis en relation leurs approches respectives </w:t>
      </w:r>
      <w:r w:rsidRPr="007D3AE9">
        <w:rPr>
          <w:rFonts w:ascii="Times New Roman" w:hAnsi="Times New Roman" w:cs="Times New Roman"/>
        </w:rPr>
        <w:t xml:space="preserve">; la comparaison entre mathématiques et EPS ne se pas faite d’emblée, mais a été provoquée </w:t>
      </w:r>
      <w:r w:rsidR="00E501E2">
        <w:rPr>
          <w:rFonts w:ascii="Times New Roman" w:hAnsi="Times New Roman" w:cs="Times New Roman"/>
        </w:rPr>
        <w:t xml:space="preserve">à certains moments </w:t>
      </w:r>
      <w:r w:rsidRPr="007D3AE9">
        <w:rPr>
          <w:rFonts w:ascii="Times New Roman" w:hAnsi="Times New Roman" w:cs="Times New Roman"/>
        </w:rPr>
        <w:t>par les chercheurs. Cette recherche soulève un certain nombre de questions pour former les enseignants : est-ce aux chercheur</w:t>
      </w:r>
      <w:r w:rsidR="00E501E2">
        <w:rPr>
          <w:rFonts w:ascii="Times New Roman" w:hAnsi="Times New Roman" w:cs="Times New Roman"/>
        </w:rPr>
        <w:t>s</w:t>
      </w:r>
      <w:r w:rsidRPr="007D3AE9">
        <w:rPr>
          <w:rFonts w:ascii="Times New Roman" w:hAnsi="Times New Roman" w:cs="Times New Roman"/>
        </w:rPr>
        <w:t xml:space="preserve"> ou aux professeurs de choisir les moments saillants ? Comment amener les professeurs à davantage prendre en compte la dimension didactique dans leur analyse ?</w:t>
      </w:r>
      <w:r w:rsidR="00306A2A" w:rsidRPr="007D3AE9">
        <w:rPr>
          <w:rFonts w:ascii="Times New Roman" w:hAnsi="Times New Roman" w:cs="Times New Roman"/>
        </w:rPr>
        <w:t xml:space="preserve"> </w:t>
      </w:r>
      <w:r w:rsidR="00501774">
        <w:rPr>
          <w:rFonts w:ascii="Times New Roman" w:hAnsi="Times New Roman" w:cs="Times New Roman"/>
        </w:rPr>
        <w:t xml:space="preserve">Quel curriculum de formation </w:t>
      </w:r>
      <w:r w:rsidR="00501774">
        <w:rPr>
          <w:rFonts w:ascii="Times New Roman" w:hAnsi="Times New Roman" w:cs="Times New Roman"/>
        </w:rPr>
        <w:t xml:space="preserve">et quelle progressivité envisager concernant les dispositifs d’analyse des pratiques ? </w:t>
      </w:r>
    </w:p>
    <w:p w:rsidR="00857165" w:rsidRPr="007D3AE9" w:rsidRDefault="00857165" w:rsidP="00E329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982" w:rsidRPr="007D3AE9" w:rsidRDefault="00306A2A" w:rsidP="00E329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AE9">
        <w:rPr>
          <w:rFonts w:ascii="Times New Roman" w:hAnsi="Times New Roman" w:cs="Times New Roman"/>
        </w:rPr>
        <w:t>Références</w:t>
      </w:r>
    </w:p>
    <w:p w:rsidR="00663579" w:rsidRDefault="00663579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579">
        <w:rPr>
          <w:rFonts w:ascii="Times New Roman" w:hAnsi="Times New Roman" w:cs="Times New Roman"/>
        </w:rPr>
        <w:t>Amade-Escot</w:t>
      </w:r>
      <w:r>
        <w:rPr>
          <w:rFonts w:ascii="Times New Roman" w:hAnsi="Times New Roman" w:cs="Times New Roman"/>
        </w:rPr>
        <w:t>, C.</w:t>
      </w:r>
      <w:r w:rsidRPr="00663579">
        <w:rPr>
          <w:rFonts w:ascii="Times New Roman" w:hAnsi="Times New Roman" w:cs="Times New Roman"/>
        </w:rPr>
        <w:t xml:space="preserve"> et Brière-</w:t>
      </w:r>
      <w:proofErr w:type="spellStart"/>
      <w:r w:rsidRPr="00663579">
        <w:rPr>
          <w:rFonts w:ascii="Times New Roman" w:hAnsi="Times New Roman" w:cs="Times New Roman"/>
        </w:rPr>
        <w:t>Guenoun</w:t>
      </w:r>
      <w:proofErr w:type="spellEnd"/>
      <w:r>
        <w:rPr>
          <w:rFonts w:ascii="Times New Roman" w:hAnsi="Times New Roman" w:cs="Times New Roman"/>
        </w:rPr>
        <w:t>,</w:t>
      </w:r>
      <w:r w:rsidRPr="00663579">
        <w:rPr>
          <w:rFonts w:ascii="Times New Roman" w:hAnsi="Times New Roman" w:cs="Times New Roman"/>
        </w:rPr>
        <w:t xml:space="preserve"> </w:t>
      </w:r>
      <w:r w:rsidRPr="0066357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63579">
        <w:rPr>
          <w:rFonts w:ascii="Times New Roman" w:hAnsi="Times New Roman" w:cs="Times New Roman"/>
        </w:rPr>
        <w:t xml:space="preserve">Questionner le curriculum en éducation physique et sportive : Quelle dynamique en contexte ? Quelle autonomie </w:t>
      </w:r>
      <w:proofErr w:type="gramStart"/>
      <w:r w:rsidRPr="0066357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663579">
        <w:rPr>
          <w:rFonts w:ascii="Times New Roman" w:hAnsi="Times New Roman" w:cs="Times New Roman"/>
          <w:i/>
        </w:rPr>
        <w:t>Questions Vives</w:t>
      </w:r>
      <w:r>
        <w:rPr>
          <w:rFonts w:ascii="Times New Roman" w:hAnsi="Times New Roman" w:cs="Times New Roman"/>
        </w:rPr>
        <w:t>,</w:t>
      </w:r>
      <w:r w:rsidRPr="00663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22.</w:t>
      </w:r>
    </w:p>
    <w:p w:rsidR="00555BD8" w:rsidRDefault="00555BD8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5BD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rau</w:t>
      </w:r>
      <w:proofErr w:type="spellEnd"/>
      <w:r w:rsidRPr="00555BD8">
        <w:rPr>
          <w:rFonts w:ascii="Times New Roman" w:hAnsi="Times New Roman" w:cs="Times New Roman"/>
        </w:rPr>
        <w:t>-A</w:t>
      </w:r>
      <w:r>
        <w:rPr>
          <w:rFonts w:ascii="Times New Roman" w:hAnsi="Times New Roman" w:cs="Times New Roman"/>
        </w:rPr>
        <w:t>ntony</w:t>
      </w:r>
      <w:r w:rsidRPr="00555BD8">
        <w:rPr>
          <w:rFonts w:ascii="Times New Roman" w:hAnsi="Times New Roman" w:cs="Times New Roman"/>
        </w:rPr>
        <w:t xml:space="preserve">, S. (2015). Recherche en didactique et développement professionnel d'enseignants d'EPS. </w:t>
      </w:r>
      <w:r w:rsidRPr="00843563">
        <w:rPr>
          <w:rFonts w:ascii="Times New Roman" w:hAnsi="Times New Roman" w:cs="Times New Roman"/>
          <w:i/>
        </w:rPr>
        <w:t>Education &amp; Didactique</w:t>
      </w:r>
      <w:r w:rsidRPr="00555BD8">
        <w:rPr>
          <w:rFonts w:ascii="Times New Roman" w:hAnsi="Times New Roman" w:cs="Times New Roman"/>
        </w:rPr>
        <w:t>, 9/1, 107-118</w:t>
      </w:r>
    </w:p>
    <w:p w:rsidR="00663579" w:rsidRDefault="00663579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63579">
        <w:rPr>
          <w:rFonts w:ascii="Times New Roman" w:hAnsi="Times New Roman" w:cs="Times New Roman"/>
        </w:rPr>
        <w:t>Bucheton</w:t>
      </w:r>
      <w:proofErr w:type="spellEnd"/>
      <w:r w:rsidRPr="00663579">
        <w:rPr>
          <w:rFonts w:ascii="Times New Roman" w:hAnsi="Times New Roman" w:cs="Times New Roman"/>
        </w:rPr>
        <w:t xml:space="preserve">, D. et Soulé, Y. (2009). Les gestes professionnels et le jeu des postures de l'enseignant dans la classe : un multi-agenda de préoccupations enchâssées. </w:t>
      </w:r>
      <w:r w:rsidRPr="00663579">
        <w:rPr>
          <w:rFonts w:ascii="Times New Roman" w:hAnsi="Times New Roman" w:cs="Times New Roman"/>
          <w:i/>
        </w:rPr>
        <w:t>Education &amp; didactique</w:t>
      </w:r>
      <w:r w:rsidRPr="00663579">
        <w:rPr>
          <w:rFonts w:ascii="Times New Roman" w:hAnsi="Times New Roman" w:cs="Times New Roman"/>
        </w:rPr>
        <w:t xml:space="preserve">, 3 (3), 29-48. </w:t>
      </w:r>
    </w:p>
    <w:p w:rsidR="00857165" w:rsidRDefault="00857165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7165">
        <w:rPr>
          <w:rFonts w:ascii="Times New Roman" w:hAnsi="Times New Roman" w:cs="Times New Roman"/>
        </w:rPr>
        <w:t>Carnus</w:t>
      </w:r>
      <w:proofErr w:type="spellEnd"/>
      <w:r w:rsidRPr="00857165"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</w:rPr>
        <w:t>.</w:t>
      </w:r>
      <w:r w:rsidRPr="00857165">
        <w:rPr>
          <w:rFonts w:ascii="Times New Roman" w:hAnsi="Times New Roman" w:cs="Times New Roman"/>
        </w:rPr>
        <w:t>F., Garcia-</w:t>
      </w:r>
      <w:proofErr w:type="spellStart"/>
      <w:r w:rsidRPr="00857165">
        <w:rPr>
          <w:rFonts w:ascii="Times New Roman" w:hAnsi="Times New Roman" w:cs="Times New Roman"/>
        </w:rPr>
        <w:t>Debanc</w:t>
      </w:r>
      <w:proofErr w:type="spellEnd"/>
      <w:r w:rsidRPr="00857165">
        <w:rPr>
          <w:rFonts w:ascii="Times New Roman" w:hAnsi="Times New Roman" w:cs="Times New Roman"/>
        </w:rPr>
        <w:t>, C.</w:t>
      </w:r>
      <w:r>
        <w:rPr>
          <w:rFonts w:ascii="Times New Roman" w:hAnsi="Times New Roman" w:cs="Times New Roman"/>
        </w:rPr>
        <w:t xml:space="preserve"> et Terrisse, A. (2008).</w:t>
      </w:r>
      <w:r w:rsidRPr="00857165">
        <w:rPr>
          <w:rFonts w:ascii="Times New Roman" w:hAnsi="Times New Roman" w:cs="Times New Roman"/>
        </w:rPr>
        <w:t xml:space="preserve"> </w:t>
      </w:r>
      <w:r w:rsidRPr="00843563">
        <w:rPr>
          <w:rFonts w:ascii="Times New Roman" w:hAnsi="Times New Roman" w:cs="Times New Roman"/>
          <w:i/>
        </w:rPr>
        <w:t>Analyse des pratiques des enseignants débutants, Approches didactiques</w:t>
      </w:r>
      <w:r w:rsidRPr="00857165">
        <w:rPr>
          <w:rFonts w:ascii="Times New Roman" w:hAnsi="Times New Roman" w:cs="Times New Roman"/>
        </w:rPr>
        <w:t>. Grenoble : La pensée sauvage.</w:t>
      </w:r>
    </w:p>
    <w:p w:rsidR="00857165" w:rsidRDefault="00857165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16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ourdan, </w:t>
      </w:r>
      <w:r w:rsidRPr="00857165">
        <w:rPr>
          <w:rFonts w:ascii="Times New Roman" w:hAnsi="Times New Roman" w:cs="Times New Roman"/>
        </w:rPr>
        <w:t xml:space="preserve">I. (2008). Rapport au savoir et premières expériences professionnelles chez les enseignants novices en EPS. In M-F. </w:t>
      </w:r>
      <w:proofErr w:type="spellStart"/>
      <w:r w:rsidRPr="00857165">
        <w:rPr>
          <w:rFonts w:ascii="Times New Roman" w:hAnsi="Times New Roman" w:cs="Times New Roman"/>
        </w:rPr>
        <w:t>Carnus</w:t>
      </w:r>
      <w:proofErr w:type="spellEnd"/>
      <w:r w:rsidRPr="00857165">
        <w:rPr>
          <w:rFonts w:ascii="Times New Roman" w:hAnsi="Times New Roman" w:cs="Times New Roman"/>
        </w:rPr>
        <w:t>, C. Garcia-</w:t>
      </w:r>
      <w:proofErr w:type="spellStart"/>
      <w:r w:rsidRPr="00857165">
        <w:rPr>
          <w:rFonts w:ascii="Times New Roman" w:hAnsi="Times New Roman" w:cs="Times New Roman"/>
        </w:rPr>
        <w:t>Debanc</w:t>
      </w:r>
      <w:proofErr w:type="spellEnd"/>
      <w:r w:rsidRPr="00857165">
        <w:rPr>
          <w:rFonts w:ascii="Times New Roman" w:hAnsi="Times New Roman" w:cs="Times New Roman"/>
        </w:rPr>
        <w:t xml:space="preserve"> &amp; A. Terrisse. (</w:t>
      </w:r>
      <w:proofErr w:type="spellStart"/>
      <w:r w:rsidRPr="00857165">
        <w:rPr>
          <w:rFonts w:ascii="Times New Roman" w:hAnsi="Times New Roman" w:cs="Times New Roman"/>
        </w:rPr>
        <w:t>dir</w:t>
      </w:r>
      <w:proofErr w:type="spellEnd"/>
      <w:r w:rsidRPr="00857165">
        <w:rPr>
          <w:rFonts w:ascii="Times New Roman" w:hAnsi="Times New Roman" w:cs="Times New Roman"/>
        </w:rPr>
        <w:t xml:space="preserve">.) </w:t>
      </w:r>
      <w:r w:rsidRPr="00843563">
        <w:rPr>
          <w:rFonts w:ascii="Times New Roman" w:hAnsi="Times New Roman" w:cs="Times New Roman"/>
          <w:i/>
        </w:rPr>
        <w:t>Analyse des pratiques des enseignants débutants - Approches didactiques</w:t>
      </w:r>
      <w:r w:rsidRPr="00857165">
        <w:rPr>
          <w:rFonts w:ascii="Times New Roman" w:hAnsi="Times New Roman" w:cs="Times New Roman"/>
        </w:rPr>
        <w:t>. Grenoble : La Pensée sauvage.</w:t>
      </w:r>
    </w:p>
    <w:p w:rsidR="00663579" w:rsidRDefault="00555BD8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Martinand</w:t>
      </w:r>
      <w:proofErr w:type="spellEnd"/>
      <w:r>
        <w:rPr>
          <w:rFonts w:ascii="Times New Roman" w:hAnsi="Times New Roman" w:cs="Times New Roman"/>
        </w:rPr>
        <w:t xml:space="preserve">, J.L. (2014). </w:t>
      </w:r>
      <w:r w:rsidRPr="00555BD8">
        <w:rPr>
          <w:rFonts w:ascii="Times New Roman" w:hAnsi="Times New Roman" w:cs="Times New Roman"/>
        </w:rPr>
        <w:t>Point de vue V – Didactique des sciences et techni</w:t>
      </w:r>
      <w:r>
        <w:rPr>
          <w:rFonts w:ascii="Times New Roman" w:hAnsi="Times New Roman" w:cs="Times New Roman"/>
        </w:rPr>
        <w:t>ques, didactique du curriculum</w:t>
      </w:r>
      <w:r w:rsidRPr="00555BD8">
        <w:rPr>
          <w:rFonts w:ascii="Times New Roman" w:hAnsi="Times New Roman" w:cs="Times New Roman"/>
        </w:rPr>
        <w:t xml:space="preserve">, </w:t>
      </w:r>
      <w:r w:rsidRPr="00843563">
        <w:rPr>
          <w:rFonts w:ascii="Times New Roman" w:hAnsi="Times New Roman" w:cs="Times New Roman"/>
          <w:i/>
        </w:rPr>
        <w:t>Éducation et didactique</w:t>
      </w:r>
      <w:r w:rsidRPr="00555BD8">
        <w:rPr>
          <w:rFonts w:ascii="Times New Roman" w:hAnsi="Times New Roman" w:cs="Times New Roman"/>
        </w:rPr>
        <w:t>, 8-1</w:t>
      </w:r>
      <w:r>
        <w:rPr>
          <w:rFonts w:ascii="Times New Roman" w:hAnsi="Times New Roman" w:cs="Times New Roman"/>
        </w:rPr>
        <w:t xml:space="preserve">, </w:t>
      </w:r>
      <w:r w:rsidRPr="00555BD8">
        <w:rPr>
          <w:rFonts w:ascii="Times New Roman" w:hAnsi="Times New Roman" w:cs="Times New Roman"/>
        </w:rPr>
        <w:t>65-76.</w:t>
      </w:r>
    </w:p>
    <w:p w:rsidR="00E32982" w:rsidRDefault="00501774" w:rsidP="00501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1774">
        <w:rPr>
          <w:rFonts w:ascii="Times New Roman" w:hAnsi="Times New Roman" w:cs="Times New Roman"/>
        </w:rPr>
        <w:t xml:space="preserve">Mercier, A., </w:t>
      </w:r>
      <w:proofErr w:type="spellStart"/>
      <w:r w:rsidRPr="00501774">
        <w:rPr>
          <w:rFonts w:ascii="Times New Roman" w:hAnsi="Times New Roman" w:cs="Times New Roman"/>
        </w:rPr>
        <w:t>Schubauer</w:t>
      </w:r>
      <w:proofErr w:type="spellEnd"/>
      <w:r w:rsidRPr="00501774">
        <w:rPr>
          <w:rFonts w:ascii="Times New Roman" w:hAnsi="Times New Roman" w:cs="Times New Roman"/>
        </w:rPr>
        <w:t xml:space="preserve">-Leoni, M.-L. et </w:t>
      </w:r>
      <w:proofErr w:type="spellStart"/>
      <w:r w:rsidRPr="00501774">
        <w:rPr>
          <w:rFonts w:ascii="Times New Roman" w:hAnsi="Times New Roman" w:cs="Times New Roman"/>
        </w:rPr>
        <w:t>Sensevy</w:t>
      </w:r>
      <w:proofErr w:type="spellEnd"/>
      <w:r w:rsidRPr="00501774">
        <w:rPr>
          <w:rFonts w:ascii="Times New Roman" w:hAnsi="Times New Roman" w:cs="Times New Roman"/>
        </w:rPr>
        <w:t xml:space="preserve">, G. (2002). Vers une didactique comparée. </w:t>
      </w:r>
      <w:r w:rsidRPr="00F9221F">
        <w:rPr>
          <w:rFonts w:ascii="Times New Roman" w:hAnsi="Times New Roman" w:cs="Times New Roman"/>
          <w:i/>
        </w:rPr>
        <w:t>Revue française de pédagogie,</w:t>
      </w:r>
      <w:r w:rsidRPr="00501774">
        <w:rPr>
          <w:rFonts w:ascii="Times New Roman" w:hAnsi="Times New Roman" w:cs="Times New Roman"/>
        </w:rPr>
        <w:t xml:space="preserve"> 141, 5-16.</w:t>
      </w:r>
    </w:p>
    <w:p w:rsidR="00EA5349" w:rsidRPr="007D3AE9" w:rsidRDefault="00C343B6" w:rsidP="00C343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43B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obert</w:t>
      </w:r>
      <w:r w:rsidRPr="00C343B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. et </w:t>
      </w:r>
      <w:proofErr w:type="spellStart"/>
      <w:r>
        <w:rPr>
          <w:rFonts w:ascii="Times New Roman" w:hAnsi="Times New Roman" w:cs="Times New Roman"/>
        </w:rPr>
        <w:t>Roglaski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343B6">
        <w:rPr>
          <w:rFonts w:ascii="Times New Roman" w:hAnsi="Times New Roman" w:cs="Times New Roman"/>
        </w:rPr>
        <w:t>J. (2002). Le système complexe et cohérent des pratiques des enseignants de mathématiques : une double approche</w:t>
      </w:r>
      <w:r w:rsidR="00F9221F">
        <w:rPr>
          <w:rFonts w:ascii="Times New Roman" w:hAnsi="Times New Roman" w:cs="Times New Roman"/>
        </w:rPr>
        <w:t xml:space="preserve">. </w:t>
      </w:r>
      <w:r w:rsidR="00F9221F" w:rsidRPr="00F9221F">
        <w:rPr>
          <w:rFonts w:ascii="Times New Roman" w:hAnsi="Times New Roman" w:cs="Times New Roman"/>
          <w:i/>
        </w:rPr>
        <w:t>L</w:t>
      </w:r>
      <w:r w:rsidRPr="00F9221F">
        <w:rPr>
          <w:rFonts w:ascii="Times New Roman" w:hAnsi="Times New Roman" w:cs="Times New Roman"/>
          <w:i/>
        </w:rPr>
        <w:t>a revue canadienne de l’enseignement des sciences, des mathématiques et des technologies,</w:t>
      </w:r>
      <w:r w:rsidRPr="00C343B6">
        <w:rPr>
          <w:rFonts w:ascii="Times New Roman" w:hAnsi="Times New Roman" w:cs="Times New Roman"/>
        </w:rPr>
        <w:t xml:space="preserve"> 2(4), 505-528</w:t>
      </w:r>
      <w:r w:rsidR="00F9221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A5349" w:rsidRPr="007D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C8"/>
    <w:rsid w:val="00030C88"/>
    <w:rsid w:val="00182B53"/>
    <w:rsid w:val="001E4496"/>
    <w:rsid w:val="00240E4C"/>
    <w:rsid w:val="002534AC"/>
    <w:rsid w:val="002B62ED"/>
    <w:rsid w:val="002E2F41"/>
    <w:rsid w:val="00306A2A"/>
    <w:rsid w:val="003E6183"/>
    <w:rsid w:val="004E0DD8"/>
    <w:rsid w:val="00501774"/>
    <w:rsid w:val="00552429"/>
    <w:rsid w:val="00555BD8"/>
    <w:rsid w:val="005E6495"/>
    <w:rsid w:val="00663579"/>
    <w:rsid w:val="00741216"/>
    <w:rsid w:val="007A1BC8"/>
    <w:rsid w:val="007D3AE9"/>
    <w:rsid w:val="00843563"/>
    <w:rsid w:val="00857165"/>
    <w:rsid w:val="00893B6D"/>
    <w:rsid w:val="008A137C"/>
    <w:rsid w:val="00A910FD"/>
    <w:rsid w:val="00AB3F58"/>
    <w:rsid w:val="00AC570E"/>
    <w:rsid w:val="00B364B3"/>
    <w:rsid w:val="00B43B46"/>
    <w:rsid w:val="00C343B6"/>
    <w:rsid w:val="00C503DA"/>
    <w:rsid w:val="00C67FDD"/>
    <w:rsid w:val="00CF61D0"/>
    <w:rsid w:val="00DC0DB9"/>
    <w:rsid w:val="00E32982"/>
    <w:rsid w:val="00E501E2"/>
    <w:rsid w:val="00EA5349"/>
    <w:rsid w:val="00EE2E42"/>
    <w:rsid w:val="00F14D94"/>
    <w:rsid w:val="00F80CC5"/>
    <w:rsid w:val="00F9221F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D13D-D523-48FE-9652-F6DD527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1154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21</cp:revision>
  <dcterms:created xsi:type="dcterms:W3CDTF">2015-09-20T05:17:00Z</dcterms:created>
  <dcterms:modified xsi:type="dcterms:W3CDTF">2015-09-20T21:47:00Z</dcterms:modified>
</cp:coreProperties>
</file>