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FF" w:rsidRDefault="00A733FF" w:rsidP="00A733FF">
      <w:pPr>
        <w:pStyle w:val="Default"/>
      </w:pPr>
      <w:r w:rsidRPr="00A733FF">
        <w:t>Pascale Batézat Batellier</w:t>
      </w:r>
      <w:bookmarkStart w:id="0" w:name="_GoBack"/>
      <w:bookmarkEnd w:id="0"/>
    </w:p>
    <w:p w:rsidR="00E77242" w:rsidRDefault="00E77242" w:rsidP="00A733FF">
      <w:pPr>
        <w:pStyle w:val="Default"/>
      </w:pPr>
    </w:p>
    <w:p w:rsidR="00E77242" w:rsidRPr="00E77242" w:rsidRDefault="00E77242" w:rsidP="00A733FF">
      <w:pPr>
        <w:pStyle w:val="Default"/>
        <w:rPr>
          <w:b/>
        </w:rPr>
      </w:pPr>
      <w:r>
        <w:rPr>
          <w:b/>
        </w:rPr>
        <w:t>L</w:t>
      </w:r>
      <w:r w:rsidRPr="00E77242">
        <w:rPr>
          <w:b/>
        </w:rPr>
        <w:t>e processus de dévolution et la démarche de l’interprétation : une analyse en didactique de la musique</w:t>
      </w:r>
    </w:p>
    <w:p w:rsidR="00A733FF" w:rsidRPr="00E77242" w:rsidRDefault="00A733FF" w:rsidP="00A733FF">
      <w:pPr>
        <w:pStyle w:val="Default"/>
      </w:pPr>
      <w:r>
        <w:t xml:space="preserve"> </w:t>
      </w:r>
    </w:p>
    <w:p w:rsidR="00D005F5" w:rsidRPr="00F8655E" w:rsidRDefault="00240386" w:rsidP="00D005F5">
      <w:pPr>
        <w:pStyle w:val="Standard"/>
        <w:ind w:firstLine="720"/>
        <w:rPr>
          <w:rFonts w:asciiTheme="minorHAnsi" w:hAnsiTheme="minorHAnsi"/>
        </w:rPr>
      </w:pPr>
      <w:r w:rsidRPr="00F8655E">
        <w:rPr>
          <w:rFonts w:asciiTheme="minorHAnsi" w:hAnsiTheme="minorHAnsi"/>
        </w:rPr>
        <w:t>La question traitée</w:t>
      </w:r>
      <w:r w:rsidR="00D005F5" w:rsidRPr="00F8655E">
        <w:rPr>
          <w:rFonts w:asciiTheme="minorHAnsi" w:hAnsiTheme="minorHAnsi"/>
        </w:rPr>
        <w:t xml:space="preserve"> est celle de la recherche d’une esthétique</w:t>
      </w:r>
      <w:r w:rsidR="00E3069C" w:rsidRPr="00F8655E">
        <w:rPr>
          <w:rFonts w:asciiTheme="minorHAnsi" w:hAnsiTheme="minorHAnsi"/>
        </w:rPr>
        <w:t xml:space="preserve"> musicale</w:t>
      </w:r>
      <w:r w:rsidR="00D005F5" w:rsidRPr="00F8655E">
        <w:rPr>
          <w:rFonts w:asciiTheme="minorHAnsi" w:hAnsiTheme="minorHAnsi"/>
        </w:rPr>
        <w:t xml:space="preserve"> nouvelle comme source d’expérience et d’apprentissage (Dewey, 1967)</w:t>
      </w:r>
      <w:r w:rsidR="00D005F5" w:rsidRPr="00F8655E">
        <w:rPr>
          <w:rStyle w:val="Appelnotedebasdep"/>
          <w:rFonts w:asciiTheme="minorHAnsi" w:hAnsiTheme="minorHAnsi"/>
        </w:rPr>
        <w:footnoteReference w:id="1"/>
      </w:r>
      <w:r w:rsidR="001D3008" w:rsidRPr="00F8655E">
        <w:rPr>
          <w:rFonts w:asciiTheme="minorHAnsi" w:hAnsiTheme="minorHAnsi"/>
        </w:rPr>
        <w:t xml:space="preserve"> : comment </w:t>
      </w:r>
      <w:r w:rsidR="00D005F5" w:rsidRPr="00F8655E">
        <w:rPr>
          <w:rFonts w:asciiTheme="minorHAnsi" w:hAnsiTheme="minorHAnsi"/>
        </w:rPr>
        <w:t>cette dernière s’appuie-t-elle sur les sensations corporelles des élèves ?</w:t>
      </w:r>
    </w:p>
    <w:p w:rsidR="00804DCC" w:rsidRPr="00F8655E" w:rsidRDefault="00ED5842" w:rsidP="001D3008">
      <w:pPr>
        <w:pStyle w:val="Standard"/>
        <w:ind w:firstLine="720"/>
        <w:rPr>
          <w:rFonts w:asciiTheme="minorHAnsi" w:hAnsiTheme="minorHAnsi"/>
        </w:rPr>
      </w:pPr>
      <w:r w:rsidRPr="00F8655E">
        <w:rPr>
          <w:rFonts w:asciiTheme="minorHAnsi" w:hAnsiTheme="minorHAnsi"/>
        </w:rPr>
        <w:t>L</w:t>
      </w:r>
      <w:r w:rsidR="00240386" w:rsidRPr="00F8655E">
        <w:rPr>
          <w:rFonts w:asciiTheme="minorHAnsi" w:hAnsiTheme="minorHAnsi"/>
        </w:rPr>
        <w:t>’observation porte sur deux séquen</w:t>
      </w:r>
      <w:r w:rsidRPr="00F8655E">
        <w:rPr>
          <w:rFonts w:asciiTheme="minorHAnsi" w:hAnsiTheme="minorHAnsi"/>
        </w:rPr>
        <w:t xml:space="preserve">ces </w:t>
      </w:r>
      <w:r w:rsidR="001D3008" w:rsidRPr="00F8655E">
        <w:rPr>
          <w:rFonts w:asciiTheme="minorHAnsi" w:hAnsiTheme="minorHAnsi"/>
        </w:rPr>
        <w:t xml:space="preserve">de cours </w:t>
      </w:r>
      <w:r w:rsidRPr="00F8655E">
        <w:rPr>
          <w:rFonts w:asciiTheme="minorHAnsi" w:hAnsiTheme="minorHAnsi"/>
        </w:rPr>
        <w:t>de six semaines chacune</w:t>
      </w:r>
      <w:r w:rsidR="001D3008" w:rsidRPr="00F8655E">
        <w:rPr>
          <w:rFonts w:asciiTheme="minorHAnsi" w:hAnsiTheme="minorHAnsi"/>
        </w:rPr>
        <w:t>,</w:t>
      </w:r>
      <w:r w:rsidRPr="00F8655E">
        <w:rPr>
          <w:rFonts w:asciiTheme="minorHAnsi" w:hAnsiTheme="minorHAnsi"/>
        </w:rPr>
        <w:t xml:space="preserve"> extraites d’un corpus d’un an. Chaque séance regroupe cinq à six élèves</w:t>
      </w:r>
      <w:r w:rsidR="001D3008" w:rsidRPr="00F8655E">
        <w:rPr>
          <w:rFonts w:asciiTheme="minorHAnsi" w:hAnsiTheme="minorHAnsi"/>
        </w:rPr>
        <w:t xml:space="preserve"> de neuf à onze ans, débutants dans un conservatoire. Nous </w:t>
      </w:r>
      <w:r w:rsidR="00804DCC" w:rsidRPr="00F8655E">
        <w:rPr>
          <w:rFonts w:asciiTheme="minorHAnsi" w:hAnsiTheme="minorHAnsi"/>
        </w:rPr>
        <w:t>nous intéressons aux cours de piano « préparé »</w:t>
      </w:r>
      <w:r w:rsidR="0008480C" w:rsidRPr="00F8655E">
        <w:rPr>
          <w:rFonts w:asciiTheme="minorHAnsi" w:hAnsiTheme="minorHAnsi"/>
        </w:rPr>
        <w:t>,</w:t>
      </w:r>
      <w:r w:rsidR="00804DCC" w:rsidRPr="00F8655E">
        <w:rPr>
          <w:rFonts w:asciiTheme="minorHAnsi" w:hAnsiTheme="minorHAnsi"/>
        </w:rPr>
        <w:t xml:space="preserve"> de musiques dites « contemporaines »</w:t>
      </w:r>
      <w:r w:rsidR="0008480C" w:rsidRPr="00F8655E">
        <w:rPr>
          <w:rFonts w:asciiTheme="minorHAnsi" w:hAnsiTheme="minorHAnsi"/>
        </w:rPr>
        <w:t>,</w:t>
      </w:r>
      <w:r w:rsidR="00804DCC" w:rsidRPr="00F8655E">
        <w:rPr>
          <w:rFonts w:asciiTheme="minorHAnsi" w:hAnsiTheme="minorHAnsi"/>
        </w:rPr>
        <w:t xml:space="preserve"> des XX</w:t>
      </w:r>
      <w:r w:rsidR="00804DCC" w:rsidRPr="00F8655E">
        <w:rPr>
          <w:rFonts w:asciiTheme="minorHAnsi" w:hAnsiTheme="minorHAnsi"/>
          <w:vertAlign w:val="superscript"/>
        </w:rPr>
        <w:t>e</w:t>
      </w:r>
      <w:r w:rsidR="00804DCC" w:rsidRPr="00F8655E">
        <w:rPr>
          <w:rFonts w:asciiTheme="minorHAnsi" w:hAnsiTheme="minorHAnsi"/>
        </w:rPr>
        <w:t xml:space="preserve"> et XXI</w:t>
      </w:r>
      <w:r w:rsidR="00804DCC" w:rsidRPr="00F8655E">
        <w:rPr>
          <w:rFonts w:asciiTheme="minorHAnsi" w:hAnsiTheme="minorHAnsi"/>
          <w:vertAlign w:val="superscript"/>
        </w:rPr>
        <w:t>e</w:t>
      </w:r>
      <w:r w:rsidR="00804DCC" w:rsidRPr="00F8655E">
        <w:rPr>
          <w:rFonts w:asciiTheme="minorHAnsi" w:hAnsiTheme="minorHAnsi"/>
        </w:rPr>
        <w:t xml:space="preserve"> siècle, dans un style qui fait référence notamment </w:t>
      </w:r>
      <w:r w:rsidR="006462B6" w:rsidRPr="00F8655E">
        <w:rPr>
          <w:rFonts w:asciiTheme="minorHAnsi" w:hAnsiTheme="minorHAnsi"/>
        </w:rPr>
        <w:t>aux compositeurs tel que  Cowell</w:t>
      </w:r>
      <w:r w:rsidR="00CF4BE3" w:rsidRPr="00F8655E">
        <w:rPr>
          <w:rStyle w:val="Appelnotedebasdep"/>
          <w:rFonts w:asciiTheme="minorHAnsi" w:hAnsiTheme="minorHAnsi"/>
        </w:rPr>
        <w:footnoteReference w:id="2"/>
      </w:r>
      <w:r w:rsidR="00804DCC" w:rsidRPr="00F8655E">
        <w:rPr>
          <w:rFonts w:asciiTheme="minorHAnsi" w:hAnsiTheme="minorHAnsi"/>
        </w:rPr>
        <w:t xml:space="preserve"> (1897-1965), Cage (1912-1992), </w:t>
      </w:r>
      <w:r w:rsidR="00804DCC" w:rsidRPr="00F8655E">
        <w:rPr>
          <w:rFonts w:asciiTheme="minorHAnsi" w:eastAsia="Times New Roman" w:hAnsiTheme="minorHAnsi"/>
        </w:rPr>
        <w:t>Kurtág</w:t>
      </w:r>
      <w:r w:rsidR="00CF4BE3" w:rsidRPr="00F8655E">
        <w:rPr>
          <w:rStyle w:val="Appelnotedebasdep"/>
          <w:rFonts w:asciiTheme="minorHAnsi" w:eastAsia="Times New Roman" w:hAnsiTheme="minorHAnsi"/>
        </w:rPr>
        <w:footnoteReference w:id="3"/>
      </w:r>
      <w:r w:rsidR="00804DCC" w:rsidRPr="00F8655E">
        <w:rPr>
          <w:rFonts w:asciiTheme="minorHAnsi" w:eastAsia="Times New Roman" w:hAnsiTheme="minorHAnsi"/>
        </w:rPr>
        <w:t> </w:t>
      </w:r>
      <w:r w:rsidR="00804DCC" w:rsidRPr="00F8655E">
        <w:rPr>
          <w:rFonts w:asciiTheme="minorHAnsi" w:hAnsiTheme="minorHAnsi"/>
        </w:rPr>
        <w:t>(1926-) et Crumb (1929-)</w:t>
      </w:r>
      <w:r w:rsidR="001D3008" w:rsidRPr="00F8655E">
        <w:rPr>
          <w:rFonts w:asciiTheme="minorHAnsi" w:hAnsiTheme="minorHAnsi"/>
        </w:rPr>
        <w:t>.</w:t>
      </w:r>
      <w:r w:rsidR="00804DCC" w:rsidRPr="00F8655E">
        <w:rPr>
          <w:rFonts w:asciiTheme="minorHAnsi" w:hAnsiTheme="minorHAnsi"/>
        </w:rPr>
        <w:t xml:space="preserve"> </w:t>
      </w:r>
    </w:p>
    <w:p w:rsidR="00D005F5" w:rsidRPr="00F8655E" w:rsidRDefault="00240386" w:rsidP="00D005F5">
      <w:pPr>
        <w:pStyle w:val="Standard"/>
        <w:rPr>
          <w:rFonts w:asciiTheme="minorHAnsi" w:hAnsiTheme="minorHAnsi"/>
        </w:rPr>
      </w:pPr>
      <w:r w:rsidRPr="00F8655E">
        <w:rPr>
          <w:rFonts w:asciiTheme="minorHAnsi" w:hAnsiTheme="minorHAnsi"/>
        </w:rPr>
        <w:t>En aborda</w:t>
      </w:r>
      <w:r w:rsidR="00D005F5" w:rsidRPr="00F8655E">
        <w:rPr>
          <w:rFonts w:asciiTheme="minorHAnsi" w:hAnsiTheme="minorHAnsi"/>
        </w:rPr>
        <w:t>nt un répertoire qui dérange leurs habitudes de jeu et d’écoute musicale, l’expérie</w:t>
      </w:r>
      <w:r w:rsidR="001D3008" w:rsidRPr="00F8655E">
        <w:rPr>
          <w:rFonts w:asciiTheme="minorHAnsi" w:hAnsiTheme="minorHAnsi"/>
        </w:rPr>
        <w:t>nce</w:t>
      </w:r>
      <w:r w:rsidR="00D005F5" w:rsidRPr="00F8655E">
        <w:rPr>
          <w:rFonts w:asciiTheme="minorHAnsi" w:hAnsiTheme="minorHAnsi"/>
        </w:rPr>
        <w:t xml:space="preserve"> est inaugurale</w:t>
      </w:r>
      <w:r w:rsidR="00D005F5" w:rsidRPr="00F8655E">
        <w:rPr>
          <w:rStyle w:val="Appelnotedebasdep"/>
          <w:rFonts w:asciiTheme="minorHAnsi" w:hAnsiTheme="minorHAnsi"/>
        </w:rPr>
        <w:footnoteReference w:id="4"/>
      </w:r>
      <w:r w:rsidR="001D3008" w:rsidRPr="00F8655E">
        <w:rPr>
          <w:rFonts w:asciiTheme="minorHAnsi" w:hAnsiTheme="minorHAnsi"/>
        </w:rPr>
        <w:t xml:space="preserve"> et peut concerner un public très large</w:t>
      </w:r>
      <w:r w:rsidR="00D005F5" w:rsidRPr="00F8655E">
        <w:rPr>
          <w:rFonts w:asciiTheme="minorHAnsi" w:hAnsiTheme="minorHAnsi"/>
        </w:rPr>
        <w:t>. Les élèves sont ainsi en contact avec une esthétique qui ne leur est pas familière et qui doit aboutir à une production musicale avec les moyens corporels qui leur sont propres.</w:t>
      </w:r>
      <w:r w:rsidR="001D3008" w:rsidRPr="00F8655E">
        <w:rPr>
          <w:rFonts w:asciiTheme="minorHAnsi" w:hAnsiTheme="minorHAnsi"/>
        </w:rPr>
        <w:t xml:space="preserve"> </w:t>
      </w:r>
    </w:p>
    <w:p w:rsidR="00804DCC" w:rsidRPr="00F8655E" w:rsidRDefault="00804DCC" w:rsidP="004142FE">
      <w:pPr>
        <w:pStyle w:val="Standard"/>
        <w:ind w:firstLine="720"/>
        <w:rPr>
          <w:rFonts w:asciiTheme="minorHAnsi" w:hAnsiTheme="minorHAnsi"/>
        </w:rPr>
      </w:pPr>
      <w:r w:rsidRPr="00F8655E">
        <w:rPr>
          <w:rFonts w:asciiTheme="minorHAnsi" w:hAnsiTheme="minorHAnsi"/>
        </w:rPr>
        <w:t>Notre propos s'appuie sur la Théorie de l'Action Conjointe en Didactique (Sensevy &amp; Mercier, 2007 ; Sensevy, 2011) dans une perspective anthropologique (Chevallard, 1992). Il tente d’articuler des concepts didactiques avec les paradigmes de l’esthétique du son</w:t>
      </w:r>
      <w:r w:rsidR="0008480C" w:rsidRPr="00F8655E">
        <w:rPr>
          <w:rFonts w:asciiTheme="minorHAnsi" w:hAnsiTheme="minorHAnsi"/>
        </w:rPr>
        <w:t>,</w:t>
      </w:r>
      <w:r w:rsidRPr="00F8655E">
        <w:rPr>
          <w:rFonts w:asciiTheme="minorHAnsi" w:hAnsiTheme="minorHAnsi"/>
        </w:rPr>
        <w:t xml:space="preserve"> associé</w:t>
      </w:r>
      <w:r w:rsidR="00240386" w:rsidRPr="00F8655E">
        <w:rPr>
          <w:rFonts w:asciiTheme="minorHAnsi" w:hAnsiTheme="minorHAnsi"/>
        </w:rPr>
        <w:t>s</w:t>
      </w:r>
      <w:r w:rsidRPr="00F8655E">
        <w:rPr>
          <w:rFonts w:asciiTheme="minorHAnsi" w:hAnsiTheme="minorHAnsi"/>
        </w:rPr>
        <w:t xml:space="preserve"> à la dimension interprétative d’une œuvre musicale. Il s’agit donc de décrire l’action</w:t>
      </w:r>
      <w:r w:rsidR="00240386" w:rsidRPr="00F8655E">
        <w:rPr>
          <w:rFonts w:asciiTheme="minorHAnsi" w:hAnsiTheme="minorHAnsi"/>
        </w:rPr>
        <w:t xml:space="preserve"> conjointe du</w:t>
      </w:r>
      <w:r w:rsidR="00822296" w:rsidRPr="00F8655E">
        <w:rPr>
          <w:rFonts w:asciiTheme="minorHAnsi" w:hAnsiTheme="minorHAnsi"/>
        </w:rPr>
        <w:t xml:space="preserve"> professeur</w:t>
      </w:r>
      <w:r w:rsidRPr="00F8655E">
        <w:rPr>
          <w:rFonts w:asciiTheme="minorHAnsi" w:hAnsiTheme="minorHAnsi"/>
        </w:rPr>
        <w:t xml:space="preserve"> et des élèves dans cette situation conjointe, pour en identifier la cohérence et la pertinence. La méthodologie s’apparente à celle de l’ethnographie </w:t>
      </w:r>
      <w:r w:rsidR="001C424E" w:rsidRPr="00F8655E">
        <w:rPr>
          <w:rFonts w:asciiTheme="minorHAnsi" w:hAnsiTheme="minorHAnsi"/>
        </w:rPr>
        <w:t>(Mauss, 1947)</w:t>
      </w:r>
      <w:r w:rsidR="004142FE" w:rsidRPr="00F8655E">
        <w:rPr>
          <w:rFonts w:asciiTheme="minorHAnsi" w:hAnsiTheme="minorHAnsi"/>
        </w:rPr>
        <w:t xml:space="preserve">. Elle s'inscrit dans une </w:t>
      </w:r>
      <w:r w:rsidR="004142FE" w:rsidRPr="00F8655E">
        <w:rPr>
          <w:rFonts w:asciiTheme="minorHAnsi" w:hAnsiTheme="minorHAnsi"/>
          <w:i/>
          <w:iCs/>
        </w:rPr>
        <w:t>clinique</w:t>
      </w:r>
      <w:r w:rsidR="004142FE" w:rsidRPr="00F8655E">
        <w:rPr>
          <w:rFonts w:asciiTheme="minorHAnsi" w:hAnsiTheme="minorHAnsi"/>
        </w:rPr>
        <w:t xml:space="preserve"> du didactique (Leutenegger, 2000), au sens où il s'agit d'une démarche qui par</w:t>
      </w:r>
      <w:r w:rsidR="001D3008" w:rsidRPr="00F8655E">
        <w:rPr>
          <w:rFonts w:asciiTheme="minorHAnsi" w:hAnsiTheme="minorHAnsi"/>
        </w:rPr>
        <w:t>t</w:t>
      </w:r>
      <w:r w:rsidR="004142FE" w:rsidRPr="00F8655E">
        <w:rPr>
          <w:rFonts w:asciiTheme="minorHAnsi" w:hAnsiTheme="minorHAnsi"/>
        </w:rPr>
        <w:t xml:space="preserve"> de l’étude des pratiques</w:t>
      </w:r>
      <w:r w:rsidR="001D3008" w:rsidRPr="00F8655E">
        <w:rPr>
          <w:rFonts w:asciiTheme="minorHAnsi" w:hAnsiTheme="minorHAnsi"/>
        </w:rPr>
        <w:t xml:space="preserve"> ;  elle </w:t>
      </w:r>
      <w:r w:rsidR="004142FE" w:rsidRPr="00F8655E">
        <w:rPr>
          <w:rFonts w:asciiTheme="minorHAnsi" w:hAnsiTheme="minorHAnsi"/>
        </w:rPr>
        <w:t>est attentive</w:t>
      </w:r>
      <w:r w:rsidR="00E3069C" w:rsidRPr="00F8655E">
        <w:rPr>
          <w:rFonts w:asciiTheme="minorHAnsi" w:hAnsiTheme="minorHAnsi"/>
        </w:rPr>
        <w:t xml:space="preserve"> aux détails, dans une signification</w:t>
      </w:r>
      <w:r w:rsidR="004142FE" w:rsidRPr="00F8655E">
        <w:rPr>
          <w:rFonts w:asciiTheme="minorHAnsi" w:hAnsiTheme="minorHAnsi"/>
        </w:rPr>
        <w:t xml:space="preserve"> proche de celle de Foucault (1963) concernant la clinique médicale, et de celle de Ginzburg (</w:t>
      </w:r>
      <w:r w:rsidR="006A3572" w:rsidRPr="00F8655E">
        <w:rPr>
          <w:rFonts w:asciiTheme="minorHAnsi" w:hAnsiTheme="minorHAnsi"/>
        </w:rPr>
        <w:t>1925/1989</w:t>
      </w:r>
      <w:r w:rsidR="004142FE" w:rsidRPr="00F8655E">
        <w:rPr>
          <w:rFonts w:asciiTheme="minorHAnsi" w:hAnsiTheme="minorHAnsi"/>
        </w:rPr>
        <w:t xml:space="preserve">) proposant un paradigme </w:t>
      </w:r>
      <w:r w:rsidR="004142FE" w:rsidRPr="00F8655E">
        <w:rPr>
          <w:rFonts w:asciiTheme="minorHAnsi" w:hAnsiTheme="minorHAnsi"/>
          <w:i/>
          <w:iCs/>
        </w:rPr>
        <w:t>indiciaire</w:t>
      </w:r>
      <w:r w:rsidR="004142FE" w:rsidRPr="00F8655E">
        <w:rPr>
          <w:rFonts w:asciiTheme="minorHAnsi" w:hAnsiTheme="minorHAnsi"/>
        </w:rPr>
        <w:t>. Nous complétons cette démarche par l’idée que</w:t>
      </w:r>
      <w:r w:rsidR="001D3008" w:rsidRPr="00F8655E">
        <w:rPr>
          <w:rFonts w:asciiTheme="minorHAnsi" w:hAnsiTheme="minorHAnsi"/>
        </w:rPr>
        <w:t>,</w:t>
      </w:r>
      <w:r w:rsidR="004142FE" w:rsidRPr="00F8655E">
        <w:rPr>
          <w:rFonts w:asciiTheme="minorHAnsi" w:hAnsiTheme="minorHAnsi"/>
        </w:rPr>
        <w:t xml:space="preserve"> pour décrire un style esthétique</w:t>
      </w:r>
      <w:r w:rsidR="001D3008" w:rsidRPr="00F8655E">
        <w:rPr>
          <w:rFonts w:asciiTheme="minorHAnsi" w:hAnsiTheme="minorHAnsi"/>
        </w:rPr>
        <w:t>,</w:t>
      </w:r>
      <w:r w:rsidR="004142FE" w:rsidRPr="00F8655E">
        <w:rPr>
          <w:rFonts w:asciiTheme="minorHAnsi" w:hAnsiTheme="minorHAnsi"/>
        </w:rPr>
        <w:t xml:space="preserve"> « il s’agit d’indiquer certains symptômes de la façon dont une œuvre d’art fonctionne comme symbole » (Goodman, 1984/1996, p. 152). Les données sont principalement des films </w:t>
      </w:r>
      <w:r w:rsidR="006A3572" w:rsidRPr="00F8655E">
        <w:rPr>
          <w:rFonts w:asciiTheme="minorHAnsi" w:hAnsiTheme="minorHAnsi"/>
        </w:rPr>
        <w:t>vidéo</w:t>
      </w:r>
      <w:r w:rsidR="00E3069C" w:rsidRPr="00F8655E">
        <w:rPr>
          <w:rFonts w:asciiTheme="minorHAnsi" w:hAnsiTheme="minorHAnsi"/>
        </w:rPr>
        <w:t xml:space="preserve"> qui sont précédés et suivis par des entretiens</w:t>
      </w:r>
      <w:r w:rsidRPr="00F8655E">
        <w:rPr>
          <w:rFonts w:asciiTheme="minorHAnsi" w:hAnsiTheme="minorHAnsi"/>
        </w:rPr>
        <w:t>.</w:t>
      </w:r>
    </w:p>
    <w:p w:rsidR="004142FE" w:rsidRPr="00F8655E" w:rsidRDefault="004142FE" w:rsidP="004142FE">
      <w:pPr>
        <w:pStyle w:val="Standard"/>
        <w:ind w:firstLine="720"/>
        <w:rPr>
          <w:rFonts w:asciiTheme="minorHAnsi" w:hAnsiTheme="minorHAnsi"/>
        </w:rPr>
      </w:pPr>
      <w:r w:rsidRPr="00F8655E">
        <w:rPr>
          <w:rFonts w:asciiTheme="minorHAnsi" w:hAnsiTheme="minorHAnsi"/>
        </w:rPr>
        <w:t xml:space="preserve">La bibliographie en didactique de la musique, dans ce champ d’investigation et avec cette méthodologie, </w:t>
      </w:r>
      <w:r w:rsidR="00D005F5" w:rsidRPr="00F8655E">
        <w:rPr>
          <w:rFonts w:asciiTheme="minorHAnsi" w:hAnsiTheme="minorHAnsi"/>
        </w:rPr>
        <w:t xml:space="preserve">est peu existante. </w:t>
      </w:r>
      <w:r w:rsidR="00373EFF" w:rsidRPr="00F8655E">
        <w:rPr>
          <w:rFonts w:asciiTheme="minorHAnsi" w:hAnsiTheme="minorHAnsi"/>
        </w:rPr>
        <w:t>Les</w:t>
      </w:r>
      <w:r w:rsidR="00A15F7E" w:rsidRPr="00F8655E">
        <w:rPr>
          <w:rFonts w:asciiTheme="minorHAnsi" w:hAnsiTheme="minorHAnsi"/>
        </w:rPr>
        <w:t xml:space="preserve"> études épistémiques</w:t>
      </w:r>
      <w:r w:rsidR="00F8655E" w:rsidRPr="00F8655E">
        <w:rPr>
          <w:rFonts w:asciiTheme="minorHAnsi" w:hAnsiTheme="minorHAnsi"/>
        </w:rPr>
        <w:t xml:space="preserve"> (du style et de l’esthétique),</w:t>
      </w:r>
      <w:r w:rsidR="00A15F7E" w:rsidRPr="00F8655E">
        <w:rPr>
          <w:rFonts w:asciiTheme="minorHAnsi" w:hAnsiTheme="minorHAnsi"/>
        </w:rPr>
        <w:t xml:space="preserve"> </w:t>
      </w:r>
      <w:r w:rsidRPr="00F8655E">
        <w:rPr>
          <w:rFonts w:asciiTheme="minorHAnsi" w:hAnsiTheme="minorHAnsi"/>
        </w:rPr>
        <w:t>nécessaire</w:t>
      </w:r>
      <w:r w:rsidR="001D3008" w:rsidRPr="00F8655E">
        <w:rPr>
          <w:rFonts w:asciiTheme="minorHAnsi" w:hAnsiTheme="minorHAnsi"/>
        </w:rPr>
        <w:t>s</w:t>
      </w:r>
      <w:r w:rsidRPr="00F8655E">
        <w:rPr>
          <w:rFonts w:asciiTheme="minorHAnsi" w:hAnsiTheme="minorHAnsi"/>
        </w:rPr>
        <w:t xml:space="preserve"> à la démonstration</w:t>
      </w:r>
      <w:r w:rsidR="001D3008" w:rsidRPr="00F8655E">
        <w:rPr>
          <w:rFonts w:asciiTheme="minorHAnsi" w:hAnsiTheme="minorHAnsi"/>
        </w:rPr>
        <w:t>,</w:t>
      </w:r>
      <w:r w:rsidR="00822296" w:rsidRPr="00F8655E">
        <w:rPr>
          <w:rFonts w:asciiTheme="minorHAnsi" w:hAnsiTheme="minorHAnsi"/>
        </w:rPr>
        <w:t xml:space="preserve"> s’appui</w:t>
      </w:r>
      <w:r w:rsidR="00373EFF" w:rsidRPr="00F8655E">
        <w:rPr>
          <w:rFonts w:asciiTheme="minorHAnsi" w:hAnsiTheme="minorHAnsi"/>
        </w:rPr>
        <w:t>ent</w:t>
      </w:r>
      <w:r w:rsidR="00E3069C" w:rsidRPr="00F8655E">
        <w:rPr>
          <w:rFonts w:asciiTheme="minorHAnsi" w:hAnsiTheme="minorHAnsi"/>
        </w:rPr>
        <w:t xml:space="preserve"> </w:t>
      </w:r>
      <w:r w:rsidR="00A15F7E" w:rsidRPr="00F8655E">
        <w:rPr>
          <w:rFonts w:asciiTheme="minorHAnsi" w:hAnsiTheme="minorHAnsi"/>
        </w:rPr>
        <w:t xml:space="preserve">notamment </w:t>
      </w:r>
      <w:r w:rsidR="00E3069C" w:rsidRPr="00F8655E">
        <w:rPr>
          <w:rFonts w:asciiTheme="minorHAnsi" w:hAnsiTheme="minorHAnsi"/>
        </w:rPr>
        <w:t>sur les écrits</w:t>
      </w:r>
      <w:r w:rsidR="00ED5842" w:rsidRPr="00F8655E">
        <w:rPr>
          <w:rFonts w:asciiTheme="minorHAnsi" w:hAnsiTheme="minorHAnsi"/>
        </w:rPr>
        <w:t xml:space="preserve"> </w:t>
      </w:r>
      <w:r w:rsidRPr="00F8655E">
        <w:rPr>
          <w:rFonts w:asciiTheme="minorHAnsi" w:hAnsiTheme="minorHAnsi"/>
        </w:rPr>
        <w:t>de</w:t>
      </w:r>
      <w:r w:rsidR="006462B6" w:rsidRPr="00F8655E">
        <w:rPr>
          <w:rFonts w:asciiTheme="minorHAnsi" w:hAnsiTheme="minorHAnsi"/>
        </w:rPr>
        <w:t> musiciens (</w:t>
      </w:r>
      <w:r w:rsidR="006462B6" w:rsidRPr="00F8655E">
        <w:rPr>
          <w:rFonts w:asciiTheme="minorHAnsi" w:hAnsiTheme="minorHAnsi"/>
          <w:noProof/>
        </w:rPr>
        <w:t xml:space="preserve">Badura-Skoda &amp; Badura-Skoda, 1974 ; Menuhin, </w:t>
      </w:r>
      <w:r w:rsidR="00ED5842" w:rsidRPr="00F8655E">
        <w:rPr>
          <w:rFonts w:asciiTheme="minorHAnsi" w:hAnsiTheme="minorHAnsi"/>
          <w:noProof/>
        </w:rPr>
        <w:t>1976) ;</w:t>
      </w:r>
      <w:r w:rsidR="001D3008" w:rsidRPr="00F8655E">
        <w:rPr>
          <w:rFonts w:asciiTheme="minorHAnsi" w:hAnsiTheme="minorHAnsi"/>
          <w:noProof/>
        </w:rPr>
        <w:t xml:space="preserve"> de musicologu</w:t>
      </w:r>
      <w:r w:rsidR="006462B6" w:rsidRPr="00F8655E">
        <w:rPr>
          <w:rFonts w:asciiTheme="minorHAnsi" w:hAnsiTheme="minorHAnsi"/>
          <w:noProof/>
        </w:rPr>
        <w:t>es</w:t>
      </w:r>
      <w:r w:rsidR="00ED5842" w:rsidRPr="00F8655E">
        <w:rPr>
          <w:rFonts w:asciiTheme="minorHAnsi" w:hAnsiTheme="minorHAnsi"/>
          <w:noProof/>
        </w:rPr>
        <w:t xml:space="preserve"> </w:t>
      </w:r>
      <w:r w:rsidR="006462B6" w:rsidRPr="00F8655E">
        <w:rPr>
          <w:rFonts w:asciiTheme="minorHAnsi" w:hAnsiTheme="minorHAnsi"/>
          <w:noProof/>
        </w:rPr>
        <w:t>(Arnold,1993 ; Caullier, 2012) ; de philosophes</w:t>
      </w:r>
      <w:r w:rsidR="00ED5842" w:rsidRPr="00F8655E">
        <w:rPr>
          <w:rFonts w:asciiTheme="minorHAnsi" w:hAnsiTheme="minorHAnsi"/>
          <w:noProof/>
        </w:rPr>
        <w:t xml:space="preserve"> </w:t>
      </w:r>
      <w:r w:rsidR="006462B6" w:rsidRPr="00F8655E">
        <w:rPr>
          <w:rFonts w:asciiTheme="minorHAnsi" w:hAnsiTheme="minorHAnsi"/>
          <w:noProof/>
        </w:rPr>
        <w:t xml:space="preserve">(Dewey, 1934/2005 ; Goodman, </w:t>
      </w:r>
      <w:r w:rsidR="00ED5842" w:rsidRPr="00F8655E">
        <w:rPr>
          <w:rFonts w:asciiTheme="minorHAnsi" w:hAnsiTheme="minorHAnsi"/>
          <w:noProof/>
        </w:rPr>
        <w:t>1984/1996),</w:t>
      </w:r>
      <w:r w:rsidR="001D3008" w:rsidRPr="00F8655E">
        <w:rPr>
          <w:rFonts w:asciiTheme="minorHAnsi" w:hAnsiTheme="minorHAnsi"/>
          <w:noProof/>
        </w:rPr>
        <w:t xml:space="preserve"> et enfin sur des écrits collectifs comme ceux de l’IRCAM (2010).</w:t>
      </w:r>
    </w:p>
    <w:p w:rsidR="00804DCC" w:rsidRPr="00F8655E" w:rsidRDefault="00804DCC" w:rsidP="00804DCC">
      <w:pPr>
        <w:pStyle w:val="Standard"/>
        <w:rPr>
          <w:rFonts w:asciiTheme="minorHAnsi" w:hAnsiTheme="minorHAnsi"/>
        </w:rPr>
      </w:pPr>
    </w:p>
    <w:p w:rsidR="00804DCC" w:rsidRPr="00F8655E" w:rsidRDefault="00F8655E" w:rsidP="00804DCC">
      <w:pPr>
        <w:pStyle w:val="Standard"/>
        <w:rPr>
          <w:rFonts w:asciiTheme="minorHAnsi" w:hAnsiTheme="minorHAnsi"/>
        </w:rPr>
      </w:pPr>
      <w:r w:rsidRPr="00F8655E">
        <w:rPr>
          <w:rFonts w:asciiTheme="minorHAnsi" w:hAnsiTheme="minorHAnsi"/>
        </w:rPr>
        <w:t>Dans un premier temps,</w:t>
      </w:r>
      <w:r w:rsidR="00804DCC" w:rsidRPr="00F8655E">
        <w:rPr>
          <w:rFonts w:asciiTheme="minorHAnsi" w:hAnsiTheme="minorHAnsi"/>
        </w:rPr>
        <w:t xml:space="preserve"> nous proposons </w:t>
      </w:r>
      <w:r w:rsidR="001D3008" w:rsidRPr="00F8655E">
        <w:rPr>
          <w:rFonts w:asciiTheme="minorHAnsi" w:hAnsiTheme="minorHAnsi"/>
        </w:rPr>
        <w:t>trois</w:t>
      </w:r>
      <w:r w:rsidR="00804DCC" w:rsidRPr="00F8655E">
        <w:rPr>
          <w:rFonts w:asciiTheme="minorHAnsi" w:hAnsiTheme="minorHAnsi"/>
        </w:rPr>
        <w:t xml:space="preserve"> analyse</w:t>
      </w:r>
      <w:r w:rsidR="001D3008" w:rsidRPr="00F8655E">
        <w:rPr>
          <w:rFonts w:asciiTheme="minorHAnsi" w:hAnsiTheme="minorHAnsi"/>
        </w:rPr>
        <w:t>s</w:t>
      </w:r>
      <w:r w:rsidR="00804DCC" w:rsidRPr="00F8655E">
        <w:rPr>
          <w:rFonts w:asciiTheme="minorHAnsi" w:hAnsiTheme="minorHAnsi"/>
        </w:rPr>
        <w:t xml:space="preserve"> épistémique</w:t>
      </w:r>
      <w:r w:rsidR="001D3008" w:rsidRPr="00F8655E">
        <w:rPr>
          <w:rFonts w:asciiTheme="minorHAnsi" w:hAnsiTheme="minorHAnsi"/>
        </w:rPr>
        <w:t>s</w:t>
      </w:r>
      <w:r w:rsidR="00804DCC" w:rsidRPr="00F8655E">
        <w:rPr>
          <w:rFonts w:asciiTheme="minorHAnsi" w:hAnsiTheme="minorHAnsi"/>
        </w:rPr>
        <w:t xml:space="preserve"> contextua</w:t>
      </w:r>
      <w:r w:rsidR="001D3008" w:rsidRPr="00F8655E">
        <w:rPr>
          <w:rFonts w:asciiTheme="minorHAnsi" w:hAnsiTheme="minorHAnsi"/>
        </w:rPr>
        <w:t xml:space="preserve">lisées : celle de la notion de « style », celle </w:t>
      </w:r>
      <w:r w:rsidR="00804DCC" w:rsidRPr="00F8655E">
        <w:rPr>
          <w:rFonts w:asciiTheme="minorHAnsi" w:hAnsiTheme="minorHAnsi"/>
        </w:rPr>
        <w:t>de l’esthé</w:t>
      </w:r>
      <w:r w:rsidR="001D3008" w:rsidRPr="00F8655E">
        <w:rPr>
          <w:rFonts w:asciiTheme="minorHAnsi" w:hAnsiTheme="minorHAnsi"/>
        </w:rPr>
        <w:t>tique d’un son et</w:t>
      </w:r>
      <w:r w:rsidR="00804DCC" w:rsidRPr="00F8655E">
        <w:rPr>
          <w:rFonts w:asciiTheme="minorHAnsi" w:hAnsiTheme="minorHAnsi"/>
        </w:rPr>
        <w:t xml:space="preserve"> celle de «</w:t>
      </w:r>
      <w:r w:rsidR="001D3008" w:rsidRPr="00F8655E">
        <w:rPr>
          <w:rFonts w:asciiTheme="minorHAnsi" w:hAnsiTheme="minorHAnsi"/>
        </w:rPr>
        <w:t xml:space="preserve"> l’interprétation » en musique. </w:t>
      </w:r>
    </w:p>
    <w:p w:rsidR="00804DCC" w:rsidRPr="00F8655E" w:rsidRDefault="00F8655E" w:rsidP="00804DCC">
      <w:pPr>
        <w:pStyle w:val="Standard"/>
        <w:rPr>
          <w:rFonts w:asciiTheme="minorHAnsi" w:hAnsiTheme="minorHAnsi"/>
        </w:rPr>
      </w:pPr>
      <w:r w:rsidRPr="00F8655E">
        <w:rPr>
          <w:rFonts w:asciiTheme="minorHAnsi" w:hAnsiTheme="minorHAnsi"/>
        </w:rPr>
        <w:t>Dans un deuxième temps</w:t>
      </w:r>
      <w:r w:rsidR="00804DCC" w:rsidRPr="00F8655E">
        <w:rPr>
          <w:rFonts w:asciiTheme="minorHAnsi" w:hAnsiTheme="minorHAnsi"/>
        </w:rPr>
        <w:t>, nous exposons la méthodolog</w:t>
      </w:r>
      <w:r w:rsidR="00373EFF" w:rsidRPr="00F8655E">
        <w:rPr>
          <w:rFonts w:asciiTheme="minorHAnsi" w:hAnsiTheme="minorHAnsi"/>
        </w:rPr>
        <w:t xml:space="preserve">ie (qualitative) et </w:t>
      </w:r>
      <w:r w:rsidR="00804DCC" w:rsidRPr="00F8655E">
        <w:rPr>
          <w:rFonts w:asciiTheme="minorHAnsi" w:hAnsiTheme="minorHAnsi"/>
        </w:rPr>
        <w:t xml:space="preserve">la problématique. Elles dépendent l’une de l’autre et des notions précédemment citées.  </w:t>
      </w:r>
    </w:p>
    <w:p w:rsidR="00804DCC" w:rsidRPr="00F8655E" w:rsidRDefault="00F8655E" w:rsidP="00804DCC">
      <w:pPr>
        <w:pStyle w:val="Standard"/>
        <w:rPr>
          <w:rFonts w:asciiTheme="minorHAnsi" w:hAnsiTheme="minorHAnsi"/>
        </w:rPr>
      </w:pPr>
      <w:r w:rsidRPr="00F8655E">
        <w:rPr>
          <w:rFonts w:asciiTheme="minorHAnsi" w:hAnsiTheme="minorHAnsi"/>
        </w:rPr>
        <w:t>Dans un troisième temps,</w:t>
      </w:r>
      <w:r w:rsidR="00804DCC" w:rsidRPr="00F8655E">
        <w:rPr>
          <w:rFonts w:asciiTheme="minorHAnsi" w:hAnsiTheme="minorHAnsi"/>
        </w:rPr>
        <w:t xml:space="preserve"> l’analyse tente de répondre à notre problématique et décrit l’action des professeurs et des élève</w:t>
      </w:r>
      <w:r w:rsidR="00822296" w:rsidRPr="00F8655E">
        <w:rPr>
          <w:rFonts w:asciiTheme="minorHAnsi" w:hAnsiTheme="minorHAnsi"/>
        </w:rPr>
        <w:t>s dans cette situation</w:t>
      </w:r>
      <w:r w:rsidR="00804DCC" w:rsidRPr="00F8655E">
        <w:rPr>
          <w:rFonts w:asciiTheme="minorHAnsi" w:hAnsiTheme="minorHAnsi"/>
        </w:rPr>
        <w:t xml:space="preserve">. L’objectif est d’une part d’en identifier la cohérence et la pertinence, et d’autre part, par une micro-analyse, de donner à voir le rôle du geste dans la production d’un son. </w:t>
      </w:r>
    </w:p>
    <w:p w:rsidR="0008480C" w:rsidRPr="00E77242" w:rsidRDefault="00A15F7E" w:rsidP="00E77242">
      <w:pPr>
        <w:pStyle w:val="Standard"/>
        <w:rPr>
          <w:rFonts w:asciiTheme="minorHAnsi" w:hAnsiTheme="minorHAnsi"/>
        </w:rPr>
      </w:pPr>
      <w:r w:rsidRPr="00F8655E">
        <w:rPr>
          <w:rFonts w:asciiTheme="minorHAnsi" w:hAnsiTheme="minorHAnsi"/>
        </w:rPr>
        <w:lastRenderedPageBreak/>
        <w:t>Enfin</w:t>
      </w:r>
      <w:r w:rsidR="00F8655E" w:rsidRPr="00F8655E">
        <w:rPr>
          <w:rFonts w:asciiTheme="minorHAnsi" w:hAnsiTheme="minorHAnsi"/>
        </w:rPr>
        <w:t>,</w:t>
      </w:r>
      <w:r w:rsidRPr="00F8655E">
        <w:rPr>
          <w:rFonts w:asciiTheme="minorHAnsi" w:hAnsiTheme="minorHAnsi"/>
        </w:rPr>
        <w:t xml:space="preserve"> l</w:t>
      </w:r>
      <w:r w:rsidR="006462B6" w:rsidRPr="00F8655E">
        <w:rPr>
          <w:rFonts w:asciiTheme="minorHAnsi" w:hAnsiTheme="minorHAnsi"/>
        </w:rPr>
        <w:t>a</w:t>
      </w:r>
      <w:r w:rsidR="00804DCC" w:rsidRPr="00F8655E">
        <w:rPr>
          <w:rFonts w:asciiTheme="minorHAnsi" w:hAnsiTheme="minorHAnsi"/>
        </w:rPr>
        <w:t xml:space="preserve"> conclusion s’ouvre sur une discussion dans laquelle nous envisageons </w:t>
      </w:r>
      <w:r w:rsidR="00E3069C" w:rsidRPr="00F8655E">
        <w:rPr>
          <w:rFonts w:asciiTheme="minorHAnsi" w:hAnsiTheme="minorHAnsi"/>
        </w:rPr>
        <w:t>la pertinence d’</w:t>
      </w:r>
      <w:r w:rsidR="00804DCC" w:rsidRPr="00F8655E">
        <w:rPr>
          <w:rFonts w:asciiTheme="minorHAnsi" w:hAnsiTheme="minorHAnsi"/>
        </w:rPr>
        <w:t>une ingénierie.</w:t>
      </w:r>
    </w:p>
    <w:p w:rsidR="00916B43" w:rsidRPr="00E77242" w:rsidRDefault="00916B43" w:rsidP="00DF7E27">
      <w:pPr>
        <w:rPr>
          <w:u w:val="single"/>
        </w:rPr>
      </w:pPr>
      <w:r w:rsidRPr="00E77242">
        <w:rPr>
          <w:u w:val="single"/>
        </w:rPr>
        <w:t xml:space="preserve">Bibliographie : </w:t>
      </w:r>
    </w:p>
    <w:p w:rsidR="00916B43" w:rsidRPr="00916B43" w:rsidRDefault="00916B43" w:rsidP="00916B43">
      <w:pPr>
        <w:pStyle w:val="Bibliographie"/>
        <w:ind w:left="720" w:hanging="720"/>
        <w:rPr>
          <w:noProof/>
          <w:sz w:val="24"/>
          <w:szCs w:val="24"/>
          <w:lang w:val="en-US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BIBLIOGRAPHY  \l 1036 </w:instrText>
      </w:r>
      <w:r>
        <w:rPr>
          <w:sz w:val="20"/>
          <w:szCs w:val="20"/>
        </w:rPr>
        <w:fldChar w:fldCharType="separate"/>
      </w:r>
      <w:r>
        <w:rPr>
          <w:noProof/>
        </w:rPr>
        <w:t xml:space="preserve">Arnold, D. (1983/1993). </w:t>
      </w:r>
      <w:r>
        <w:rPr>
          <w:i/>
          <w:iCs/>
          <w:noProof/>
        </w:rPr>
        <w:t>Dictionnaire encyclopédique de la musique</w:t>
      </w:r>
      <w:r>
        <w:rPr>
          <w:noProof/>
        </w:rPr>
        <w:t xml:space="preserve"> (éd. </w:t>
      </w:r>
      <w:r w:rsidRPr="00916B43">
        <w:rPr>
          <w:noProof/>
          <w:lang w:val="en-US"/>
        </w:rPr>
        <w:t>Oxford University Press, Vol. II). (M.-S. Pâris, Trad.) Paris: Robert Laffont.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Badura-Skoda, P., &amp; Badura-Skoda, E. (1974). </w:t>
      </w:r>
      <w:r>
        <w:rPr>
          <w:i/>
          <w:iCs/>
          <w:noProof/>
        </w:rPr>
        <w:t>L'art de jouer Mozart au piano.</w:t>
      </w:r>
      <w:r>
        <w:rPr>
          <w:noProof/>
        </w:rPr>
        <w:t xml:space="preserve"> Paris: Buchet/Chastel.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Brousseau, G. (1998). </w:t>
      </w:r>
      <w:r>
        <w:rPr>
          <w:i/>
          <w:iCs/>
          <w:noProof/>
        </w:rPr>
        <w:t>Théorie des situations didactiques.</w:t>
      </w:r>
      <w:r>
        <w:rPr>
          <w:noProof/>
        </w:rPr>
        <w:t xml:space="preserve"> Grenoble: La Pensée Sauvage.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Caullier, J. (2012). </w:t>
      </w:r>
      <w:r>
        <w:rPr>
          <w:i/>
          <w:iCs/>
          <w:noProof/>
        </w:rPr>
        <w:t>La condition d'interprète.</w:t>
      </w:r>
      <w:r>
        <w:rPr>
          <w:noProof/>
        </w:rPr>
        <w:t xml:space="preserve"> Consulté le 2015, sur DEMéter: http://demeter.revue.univ-lille3.fr/lodel9/index.php?id=205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Chevallard, Y. (1992). Concepts fondamentaux de la didactique : perspectives apportées par une approche anthropologique. </w:t>
      </w:r>
      <w:r>
        <w:rPr>
          <w:i/>
          <w:iCs/>
          <w:noProof/>
        </w:rPr>
        <w:t>Recherches en didactique des mathématiques, 1</w:t>
      </w:r>
      <w:r>
        <w:rPr>
          <w:noProof/>
        </w:rPr>
        <w:t>(12), pp. 73-112.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Dewey, J. (1934/2005). </w:t>
      </w:r>
      <w:r>
        <w:rPr>
          <w:i/>
          <w:iCs/>
          <w:noProof/>
        </w:rPr>
        <w:t>L'art comme expérience.</w:t>
      </w:r>
      <w:r>
        <w:rPr>
          <w:noProof/>
        </w:rPr>
        <w:t xml:space="preserve"> </w:t>
      </w:r>
      <w:r w:rsidRPr="00916B43">
        <w:rPr>
          <w:noProof/>
          <w:lang w:val="en-US"/>
        </w:rPr>
        <w:t xml:space="preserve">(J.-P. Cometti, Trad.) Paris: Gallimard. </w:t>
      </w:r>
      <w:r>
        <w:rPr>
          <w:noProof/>
        </w:rPr>
        <w:t>Coll.Folio Essais.</w:t>
      </w:r>
    </w:p>
    <w:p w:rsidR="00916B43" w:rsidRPr="00916B43" w:rsidRDefault="00916B43" w:rsidP="00916B43">
      <w:pPr>
        <w:pStyle w:val="Bibliographie"/>
        <w:ind w:left="720" w:hanging="720"/>
        <w:rPr>
          <w:noProof/>
          <w:lang w:val="en-US"/>
        </w:rPr>
      </w:pPr>
      <w:r>
        <w:rPr>
          <w:noProof/>
        </w:rPr>
        <w:t xml:space="preserve">Dewey, J. (1967/1993). </w:t>
      </w:r>
      <w:r>
        <w:rPr>
          <w:i/>
          <w:iCs/>
          <w:noProof/>
        </w:rPr>
        <w:t>Logique : la théorie de l'enquête.</w:t>
      </w:r>
      <w:r>
        <w:rPr>
          <w:noProof/>
        </w:rPr>
        <w:t xml:space="preserve"> </w:t>
      </w:r>
      <w:r w:rsidRPr="00916B43">
        <w:rPr>
          <w:noProof/>
          <w:lang w:val="en-US"/>
        </w:rPr>
        <w:t>(G. Deledalle, Trad.) Paris: PUF.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 w:rsidRPr="00916B43">
        <w:rPr>
          <w:noProof/>
          <w:lang w:val="en-US"/>
        </w:rPr>
        <w:t xml:space="preserve">Foucault, M. (1963). </w:t>
      </w:r>
      <w:r>
        <w:rPr>
          <w:i/>
          <w:iCs/>
          <w:noProof/>
        </w:rPr>
        <w:t>Naissance de la clinique. Une archéologie du regard médical.</w:t>
      </w:r>
      <w:r>
        <w:rPr>
          <w:noProof/>
        </w:rPr>
        <w:t xml:space="preserve"> Paris: PUF.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Ginzburg, C. (1925/1989). Traces. Racines d’un paradigme indiciaire. Dans </w:t>
      </w:r>
      <w:r>
        <w:rPr>
          <w:i/>
          <w:iCs/>
          <w:noProof/>
        </w:rPr>
        <w:t>Mythes, emblèmes, traces. Morphologie et histoire</w:t>
      </w:r>
      <w:r>
        <w:rPr>
          <w:noProof/>
        </w:rPr>
        <w:t xml:space="preserve"> (pp. 149-180). Paris: Flammarion.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Goodman, N. (1984/1996). </w:t>
      </w:r>
      <w:r>
        <w:rPr>
          <w:i/>
          <w:iCs/>
          <w:noProof/>
        </w:rPr>
        <w:t>L'art en théorie et en action.</w:t>
      </w:r>
      <w:r>
        <w:rPr>
          <w:noProof/>
        </w:rPr>
        <w:t xml:space="preserve"> (Gallimard, Éd., J.-P. Cometti, &amp; R. Pouivet, Trads.)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>IRCAM. (2010). Analyse musicale d'interprétations enregistrées. Paris. Consulté le 2015, sur http://www.apm.ircam;fr/performance_analysis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Leutenegger, F. (2000). Construction d'une "clinique" pour le didactique. Une étude des phénomènes temporels de l'enseignement. </w:t>
      </w:r>
      <w:r>
        <w:rPr>
          <w:i/>
          <w:iCs/>
          <w:noProof/>
        </w:rPr>
        <w:t>Recherche en Didactique des Mathématiques, 20</w:t>
      </w:r>
      <w:r>
        <w:rPr>
          <w:noProof/>
        </w:rPr>
        <w:t>(2), pp. 209-250.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Mauss, M. (1947/1967). </w:t>
      </w:r>
      <w:r>
        <w:rPr>
          <w:i/>
          <w:iCs/>
          <w:noProof/>
        </w:rPr>
        <w:t>Manuel d’ethnographie.</w:t>
      </w:r>
      <w:r>
        <w:rPr>
          <w:noProof/>
        </w:rPr>
        <w:t xml:space="preserve"> Paris: P. B. Payot.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Menuhin, Y. (1976). </w:t>
      </w:r>
      <w:r>
        <w:rPr>
          <w:i/>
          <w:iCs/>
          <w:noProof/>
        </w:rPr>
        <w:t>Voyage inachevé. Autobiographie.</w:t>
      </w:r>
      <w:r>
        <w:rPr>
          <w:noProof/>
        </w:rPr>
        <w:t xml:space="preserve"> Seuil.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</w:rPr>
        <w:t xml:space="preserve">Nattiez, J.-J. (1987). </w:t>
      </w:r>
      <w:r>
        <w:rPr>
          <w:i/>
          <w:iCs/>
          <w:noProof/>
        </w:rPr>
        <w:t>Musicologie générale et sémiologie.</w:t>
      </w:r>
      <w:r>
        <w:rPr>
          <w:noProof/>
        </w:rPr>
        <w:t xml:space="preserve"> Paris: Christian Bourgois.</w:t>
      </w:r>
    </w:p>
    <w:p w:rsidR="00916B43" w:rsidRDefault="00916B43" w:rsidP="00916B43">
      <w:pPr>
        <w:pStyle w:val="Bibliographie"/>
        <w:ind w:left="720" w:hanging="720"/>
        <w:rPr>
          <w:noProof/>
        </w:rPr>
      </w:pPr>
      <w:r>
        <w:rPr>
          <w:noProof/>
          <w:lang w:val="uz-Cyrl-UZ"/>
        </w:rPr>
        <w:t xml:space="preserve">Sensevy, G. (2011). </w:t>
      </w:r>
      <w:r>
        <w:rPr>
          <w:i/>
          <w:iCs/>
          <w:noProof/>
          <w:lang w:val="uz-Cyrl-UZ"/>
        </w:rPr>
        <w:t>Le sens du savoir.</w:t>
      </w:r>
      <w:r>
        <w:rPr>
          <w:noProof/>
          <w:lang w:val="uz-Cyrl-UZ"/>
        </w:rPr>
        <w:t xml:space="preserve"> </w:t>
      </w:r>
      <w:r w:rsidR="0008480C" w:rsidRPr="0008480C">
        <w:rPr>
          <w:i/>
          <w:noProof/>
        </w:rPr>
        <w:t>Eléments pour un</w:t>
      </w:r>
      <w:r w:rsidR="0008480C">
        <w:rPr>
          <w:i/>
          <w:noProof/>
        </w:rPr>
        <w:t>e</w:t>
      </w:r>
      <w:r w:rsidR="0008480C" w:rsidRPr="0008480C">
        <w:rPr>
          <w:i/>
          <w:noProof/>
        </w:rPr>
        <w:t xml:space="preserve"> théorie de l'action conjointe en didactique</w:t>
      </w:r>
      <w:r w:rsidR="0008480C">
        <w:rPr>
          <w:noProof/>
        </w:rPr>
        <w:t>. Bruxelles : De Boeck</w:t>
      </w:r>
    </w:p>
    <w:p w:rsidR="00043142" w:rsidRDefault="00043142" w:rsidP="00043142">
      <w:pPr>
        <w:pStyle w:val="Bibliographie"/>
        <w:ind w:left="720" w:hanging="720"/>
        <w:rPr>
          <w:noProof/>
          <w:sz w:val="24"/>
          <w:szCs w:val="24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BIBLIOGRAPHY  \l 1036 </w:instrText>
      </w:r>
      <w:r>
        <w:rPr>
          <w:b/>
          <w:sz w:val="20"/>
          <w:szCs w:val="20"/>
        </w:rPr>
        <w:fldChar w:fldCharType="separate"/>
      </w:r>
      <w:r>
        <w:rPr>
          <w:noProof/>
        </w:rPr>
        <w:t>Wilheim, A. (s.d.). György Kurtág, Jatekok. Paris. Consulté le 2015, sur http://brahms.ircam.fr/works/work/9775/</w:t>
      </w:r>
    </w:p>
    <w:p w:rsidR="00916B43" w:rsidRDefault="00043142" w:rsidP="00043142">
      <w:pPr>
        <w:rPr>
          <w:noProof/>
        </w:rPr>
      </w:pPr>
      <w:r>
        <w:rPr>
          <w:b/>
          <w:sz w:val="20"/>
          <w:szCs w:val="20"/>
        </w:rPr>
        <w:fldChar w:fldCharType="end"/>
      </w:r>
      <w:r w:rsidR="00916B43">
        <w:rPr>
          <w:noProof/>
        </w:rPr>
        <w:t xml:space="preserve">Zanarini, G. (2004). Le son musical. Dans J.-J. Nattiez, </w:t>
      </w:r>
      <w:r w:rsidR="00916B43">
        <w:rPr>
          <w:i/>
          <w:iCs/>
          <w:noProof/>
        </w:rPr>
        <w:t>Musiques. Une encyclopédie pour le XXIème siècle</w:t>
      </w:r>
      <w:r w:rsidR="00916B43">
        <w:rPr>
          <w:noProof/>
        </w:rPr>
        <w:t xml:space="preserve"> (Vol. 2, pp. 47-65). Arles: Actes Sud/Cité de la Musique.</w:t>
      </w:r>
    </w:p>
    <w:p w:rsidR="00043142" w:rsidRPr="00043142" w:rsidRDefault="00043142" w:rsidP="00043142"/>
    <w:p w:rsidR="00043142" w:rsidRPr="00043142" w:rsidRDefault="00043142" w:rsidP="00043142"/>
    <w:p w:rsidR="00200497" w:rsidRPr="00043142" w:rsidRDefault="00916B43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sectPr w:rsidR="00200497" w:rsidRPr="0004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87" w:rsidRDefault="00DA5287" w:rsidP="00804DCC">
      <w:pPr>
        <w:spacing w:after="0" w:line="240" w:lineRule="auto"/>
      </w:pPr>
      <w:r>
        <w:separator/>
      </w:r>
    </w:p>
  </w:endnote>
  <w:endnote w:type="continuationSeparator" w:id="0">
    <w:p w:rsidR="00DA5287" w:rsidRDefault="00DA5287" w:rsidP="0080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87" w:rsidRDefault="00DA5287" w:rsidP="00804DCC">
      <w:pPr>
        <w:spacing w:after="0" w:line="240" w:lineRule="auto"/>
      </w:pPr>
      <w:r>
        <w:separator/>
      </w:r>
    </w:p>
  </w:footnote>
  <w:footnote w:type="continuationSeparator" w:id="0">
    <w:p w:rsidR="00DA5287" w:rsidRDefault="00DA5287" w:rsidP="00804DCC">
      <w:pPr>
        <w:spacing w:after="0" w:line="240" w:lineRule="auto"/>
      </w:pPr>
      <w:r>
        <w:continuationSeparator/>
      </w:r>
    </w:p>
  </w:footnote>
  <w:footnote w:id="1">
    <w:p w:rsidR="00D005F5" w:rsidRDefault="00D005F5" w:rsidP="00D005F5">
      <w:pPr>
        <w:pStyle w:val="Footnote"/>
      </w:pPr>
      <w:r>
        <w:rPr>
          <w:rStyle w:val="Appelnotedebasdep"/>
        </w:rPr>
        <w:footnoteRef/>
      </w:r>
      <w:r>
        <w:t>Dans le sens où l’expérience est propre à l’individu, et qu’elle existe quand celui-ci est confronté à une résistance, qui peut être ici en rapport avec le jeu collectif et les interactions entre élèves et professeur et entre les élèves eux-mêmes</w:t>
      </w:r>
      <w:r w:rsidR="006A3572">
        <w:t>.</w:t>
      </w:r>
    </w:p>
  </w:footnote>
  <w:footnote w:id="2">
    <w:p w:rsidR="00CF4BE3" w:rsidRDefault="00CF4BE3">
      <w:pPr>
        <w:pStyle w:val="Notedebasdepage"/>
      </w:pPr>
      <w:r>
        <w:rPr>
          <w:rStyle w:val="Appelnotedebasdep"/>
        </w:rPr>
        <w:footnoteRef/>
      </w:r>
      <w:r>
        <w:t xml:space="preserve"> Il introduit le cluster dès 1912</w:t>
      </w:r>
      <w:r w:rsidR="006A3572">
        <w:t xml:space="preserve"> (Arnold, 1993)</w:t>
      </w:r>
    </w:p>
  </w:footnote>
  <w:footnote w:id="3">
    <w:p w:rsidR="00CF4BE3" w:rsidRPr="00CF4BE3" w:rsidRDefault="00CF4BE3">
      <w:pPr>
        <w:pStyle w:val="Notedebasdepage"/>
      </w:pPr>
      <w:r>
        <w:rPr>
          <w:rStyle w:val="Appelnotedebasdep"/>
        </w:rPr>
        <w:footnoteRef/>
      </w:r>
      <w:r>
        <w:t xml:space="preserve"> Sachant que les </w:t>
      </w:r>
      <w:r w:rsidR="006A3572">
        <w:t>« </w:t>
      </w:r>
      <w:r w:rsidRPr="006A3572">
        <w:rPr>
          <w:i/>
          <w:iCs/>
        </w:rPr>
        <w:t>Játékok</w:t>
      </w:r>
      <w:r>
        <w:rPr>
          <w:i/>
          <w:iCs/>
        </w:rPr>
        <w:t xml:space="preserve"> </w:t>
      </w:r>
      <w:r>
        <w:rPr>
          <w:iCs/>
        </w:rPr>
        <w:t>ont d’abord été conçus comme un recueil pédagogique pour le piano » puis sont devenus « une e</w:t>
      </w:r>
      <w:r w:rsidR="006A3572">
        <w:rPr>
          <w:iCs/>
        </w:rPr>
        <w:t>ncyclopédie de la pensée de Kurt</w:t>
      </w:r>
      <w:r w:rsidR="006A3572" w:rsidRPr="006A3572">
        <w:rPr>
          <w:iCs/>
        </w:rPr>
        <w:t>á</w:t>
      </w:r>
      <w:r>
        <w:rPr>
          <w:iCs/>
        </w:rPr>
        <w:t>g</w:t>
      </w:r>
      <w:r w:rsidR="006A3572">
        <w:rPr>
          <w:iCs/>
        </w:rPr>
        <w:t> » (Wilheim, s.d.).</w:t>
      </w:r>
    </w:p>
  </w:footnote>
  <w:footnote w:id="4">
    <w:p w:rsidR="00D005F5" w:rsidRDefault="00D005F5" w:rsidP="00D005F5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97"/>
    <w:rsid w:val="00043142"/>
    <w:rsid w:val="0008480C"/>
    <w:rsid w:val="000E4629"/>
    <w:rsid w:val="0014306B"/>
    <w:rsid w:val="001C424E"/>
    <w:rsid w:val="001D3008"/>
    <w:rsid w:val="00200497"/>
    <w:rsid w:val="00240386"/>
    <w:rsid w:val="002713CC"/>
    <w:rsid w:val="002747E5"/>
    <w:rsid w:val="00280177"/>
    <w:rsid w:val="002A30E4"/>
    <w:rsid w:val="002E107D"/>
    <w:rsid w:val="00303CBD"/>
    <w:rsid w:val="00373EFF"/>
    <w:rsid w:val="004142FE"/>
    <w:rsid w:val="00427B7E"/>
    <w:rsid w:val="00437099"/>
    <w:rsid w:val="004A0EC6"/>
    <w:rsid w:val="004D50F4"/>
    <w:rsid w:val="005C4AB4"/>
    <w:rsid w:val="005E59A1"/>
    <w:rsid w:val="00607DDD"/>
    <w:rsid w:val="006462B6"/>
    <w:rsid w:val="006A3572"/>
    <w:rsid w:val="00752AB5"/>
    <w:rsid w:val="007558DC"/>
    <w:rsid w:val="00804DCC"/>
    <w:rsid w:val="00822296"/>
    <w:rsid w:val="008466F0"/>
    <w:rsid w:val="008710AB"/>
    <w:rsid w:val="008B0870"/>
    <w:rsid w:val="008D016F"/>
    <w:rsid w:val="00916B43"/>
    <w:rsid w:val="00947B70"/>
    <w:rsid w:val="009A7766"/>
    <w:rsid w:val="009B1582"/>
    <w:rsid w:val="00A15F7E"/>
    <w:rsid w:val="00A733FF"/>
    <w:rsid w:val="00BA3123"/>
    <w:rsid w:val="00CF4BE3"/>
    <w:rsid w:val="00D005F5"/>
    <w:rsid w:val="00DA5287"/>
    <w:rsid w:val="00DF7E27"/>
    <w:rsid w:val="00E3069C"/>
    <w:rsid w:val="00E77242"/>
    <w:rsid w:val="00ED5842"/>
    <w:rsid w:val="00EE7F7E"/>
    <w:rsid w:val="00F8655E"/>
    <w:rsid w:val="00FA39A9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B1C4E-1BC4-4790-89DD-BBB89FC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200497"/>
    <w:pPr>
      <w:keepNext/>
      <w:suppressAutoHyphens/>
      <w:autoSpaceDN w:val="0"/>
      <w:spacing w:before="240" w:after="60" w:line="240" w:lineRule="auto"/>
      <w:jc w:val="both"/>
      <w:textAlignment w:val="baseline"/>
      <w:outlineLvl w:val="0"/>
    </w:pPr>
    <w:rPr>
      <w:rFonts w:ascii="Calibri Light" w:eastAsia="Calibri Light" w:hAnsi="Calibri Light" w:cs="Times New Roman"/>
      <w:b/>
      <w:bCs/>
      <w:kern w:val="3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00497"/>
    <w:rPr>
      <w:rFonts w:ascii="Calibri Light" w:eastAsia="Calibri Light" w:hAnsi="Calibri Light" w:cs="Times New Roman"/>
      <w:b/>
      <w:bCs/>
      <w:kern w:val="3"/>
      <w:sz w:val="32"/>
      <w:szCs w:val="32"/>
      <w:lang w:eastAsia="fr-FR"/>
    </w:rPr>
  </w:style>
  <w:style w:type="paragraph" w:customStyle="1" w:styleId="Standard">
    <w:name w:val="Standard"/>
    <w:rsid w:val="00804DCC"/>
    <w:pPr>
      <w:suppressAutoHyphens/>
      <w:autoSpaceDN w:val="0"/>
      <w:spacing w:after="40" w:line="240" w:lineRule="auto"/>
      <w:jc w:val="both"/>
      <w:textAlignment w:val="baseline"/>
    </w:pPr>
    <w:rPr>
      <w:rFonts w:ascii="Times New Roman" w:eastAsia="Droid Sans Fallback" w:hAnsi="Times New Roman" w:cs="Times New Roman"/>
      <w:kern w:val="3"/>
      <w:lang w:eastAsia="fr-FR"/>
    </w:rPr>
  </w:style>
  <w:style w:type="paragraph" w:customStyle="1" w:styleId="Footnote">
    <w:name w:val="Footnote"/>
    <w:basedOn w:val="Standard"/>
    <w:rsid w:val="00804DCC"/>
    <w:pPr>
      <w:spacing w:after="0"/>
    </w:pPr>
    <w:rPr>
      <w:rFonts w:eastAsia="Times New Roman" w:cs="Calibri"/>
      <w:sz w:val="20"/>
      <w:szCs w:val="20"/>
    </w:rPr>
  </w:style>
  <w:style w:type="character" w:styleId="Appelnotedebasdep">
    <w:name w:val="footnote reference"/>
    <w:basedOn w:val="Policepardfaut"/>
    <w:rsid w:val="00804DCC"/>
    <w:rPr>
      <w:position w:val="0"/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916B43"/>
  </w:style>
  <w:style w:type="paragraph" w:customStyle="1" w:styleId="Default">
    <w:name w:val="Default"/>
    <w:rsid w:val="00A733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4B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4BE3"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F4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Espace_réservé4</b:Tag>
    <b:SourceType>ElectronicSource</b:SourceType>
    <b:Guid>{E0E0F4E6-4942-4C51-96CA-4AA9A1657E0E}</b:Guid>
    <b:Title>György Kurtág, Jatekok</b:Title>
    <b:City>Paris</b:City>
    <b:Author>
      <b:Author>
        <b:NameList>
          <b:Person>
            <b:Last>Wilheim</b:Last>
            <b:First>Andras</b:First>
          </b:Person>
        </b:NameList>
      </b:Author>
      <b:ProducerName>
        <b:NameList>
          <b:Person>
            <b:Last>IRCAM</b:Last>
          </b:Person>
        </b:NameList>
      </b:ProducerName>
    </b:Author>
    <b:YearAccessed>2015</b:YearAccessed>
    <b:URL>http://brahms.ircam.fr/works/work/9775/</b:URL>
    <b:RefOrder>1</b:RefOrder>
  </b:Source>
</b:Sources>
</file>

<file path=customXml/itemProps1.xml><?xml version="1.0" encoding="utf-8"?>
<ds:datastoreItem xmlns:ds="http://schemas.openxmlformats.org/officeDocument/2006/customXml" ds:itemID="{1754A272-D47D-4683-85BC-FE0BB790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Batellier</dc:creator>
  <cp:keywords/>
  <dc:description/>
  <cp:lastModifiedBy>Pascale Batellier</cp:lastModifiedBy>
  <cp:revision>3</cp:revision>
  <dcterms:created xsi:type="dcterms:W3CDTF">2015-09-09T12:15:00Z</dcterms:created>
  <dcterms:modified xsi:type="dcterms:W3CDTF">2015-09-09T12:16:00Z</dcterms:modified>
</cp:coreProperties>
</file>