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9AA" w:rsidRPr="00BA2D7B" w:rsidRDefault="00BA2D7B" w:rsidP="005619AA">
      <w:pPr>
        <w:spacing w:after="0" w:line="240" w:lineRule="auto"/>
        <w:jc w:val="center"/>
        <w:rPr>
          <w:rFonts w:ascii="Times New Roman" w:hAnsi="Times New Roman" w:cs="Times New Roman"/>
          <w:b/>
          <w:bCs/>
          <w:sz w:val="20"/>
          <w:szCs w:val="20"/>
          <w:highlight w:val="lightGray"/>
        </w:rPr>
      </w:pPr>
      <w:r w:rsidRPr="00BA2D7B">
        <w:rPr>
          <w:rFonts w:ascii="Times New Roman" w:hAnsi="Times New Roman" w:cs="Times New Roman"/>
          <w:b/>
          <w:bCs/>
          <w:sz w:val="20"/>
          <w:szCs w:val="20"/>
          <w:highlight w:val="lightGray"/>
        </w:rPr>
        <w:t>Toulouse, Université Toulouse 2 Jean Jaurès</w:t>
      </w:r>
    </w:p>
    <w:p w:rsidR="004965F6" w:rsidRPr="00BA2D7B" w:rsidRDefault="004965F6" w:rsidP="00D22126">
      <w:pPr>
        <w:spacing w:after="0" w:line="240" w:lineRule="auto"/>
        <w:rPr>
          <w:rFonts w:ascii="Times New Roman" w:hAnsi="Times New Roman" w:cs="Times New Roman"/>
          <w:b/>
          <w:sz w:val="20"/>
          <w:szCs w:val="20"/>
          <w:highlight w:val="lightGray"/>
        </w:rPr>
      </w:pPr>
    </w:p>
    <w:p w:rsidR="00BA2D7B" w:rsidRPr="00BA2D7B" w:rsidRDefault="00BA2D7B" w:rsidP="00BA2D7B">
      <w:pPr>
        <w:autoSpaceDE w:val="0"/>
        <w:autoSpaceDN w:val="0"/>
        <w:adjustRightInd w:val="0"/>
        <w:spacing w:after="0" w:line="240" w:lineRule="auto"/>
        <w:jc w:val="center"/>
        <w:rPr>
          <w:rFonts w:ascii="Times New Roman" w:hAnsi="Times New Roman" w:cs="Times New Roman"/>
          <w:b/>
          <w:bCs/>
          <w:sz w:val="28"/>
          <w:szCs w:val="28"/>
          <w:highlight w:val="lightGray"/>
        </w:rPr>
      </w:pPr>
      <w:r w:rsidRPr="00BA2D7B">
        <w:rPr>
          <w:rFonts w:ascii="Times New Roman" w:hAnsi="Times New Roman" w:cs="Times New Roman"/>
          <w:b/>
          <w:bCs/>
          <w:sz w:val="28"/>
          <w:szCs w:val="28"/>
          <w:highlight w:val="lightGray"/>
        </w:rPr>
        <w:t xml:space="preserve">4 ème  colloque international de l’Association pour des Recherches </w:t>
      </w:r>
    </w:p>
    <w:p w:rsidR="00BA2D7B" w:rsidRPr="00BA2D7B" w:rsidRDefault="00BA2D7B" w:rsidP="00BA2D7B">
      <w:pPr>
        <w:autoSpaceDE w:val="0"/>
        <w:autoSpaceDN w:val="0"/>
        <w:adjustRightInd w:val="0"/>
        <w:spacing w:after="0" w:line="240" w:lineRule="auto"/>
        <w:jc w:val="center"/>
        <w:rPr>
          <w:rFonts w:ascii="Times New Roman" w:hAnsi="Times New Roman" w:cs="Times New Roman"/>
          <w:b/>
          <w:bCs/>
          <w:sz w:val="28"/>
          <w:szCs w:val="28"/>
          <w:highlight w:val="lightGray"/>
        </w:rPr>
      </w:pPr>
    </w:p>
    <w:p w:rsidR="00BA2D7B" w:rsidRPr="00BA2D7B" w:rsidRDefault="00BA2D7B" w:rsidP="00BA2D7B">
      <w:pPr>
        <w:autoSpaceDE w:val="0"/>
        <w:autoSpaceDN w:val="0"/>
        <w:adjustRightInd w:val="0"/>
        <w:spacing w:after="0" w:line="240" w:lineRule="auto"/>
        <w:jc w:val="center"/>
        <w:rPr>
          <w:rFonts w:ascii="Times New Roman" w:hAnsi="Times New Roman" w:cs="Times New Roman"/>
          <w:b/>
          <w:bCs/>
          <w:sz w:val="20"/>
          <w:szCs w:val="20"/>
          <w:highlight w:val="lightGray"/>
        </w:rPr>
      </w:pPr>
      <w:r w:rsidRPr="00BA2D7B">
        <w:rPr>
          <w:rFonts w:ascii="Times New Roman" w:hAnsi="Times New Roman" w:cs="Times New Roman"/>
          <w:b/>
          <w:bCs/>
          <w:sz w:val="28"/>
          <w:szCs w:val="28"/>
          <w:highlight w:val="lightGray"/>
        </w:rPr>
        <w:t>Comparatistes en Didactique</w:t>
      </w:r>
      <w:r w:rsidRPr="00BA2D7B">
        <w:rPr>
          <w:rFonts w:ascii="Times New Roman" w:hAnsi="Times New Roman" w:cs="Times New Roman"/>
          <w:b/>
          <w:bCs/>
          <w:sz w:val="20"/>
          <w:szCs w:val="20"/>
          <w:highlight w:val="lightGray"/>
        </w:rPr>
        <w:t xml:space="preserve"> </w:t>
      </w:r>
      <w:r w:rsidRPr="00BA2D7B">
        <w:rPr>
          <w:rFonts w:ascii="Times New Roman" w:hAnsi="Times New Roman" w:cs="Times New Roman"/>
          <w:b/>
          <w:bCs/>
          <w:sz w:val="32"/>
          <w:szCs w:val="32"/>
          <w:highlight w:val="lightGray"/>
        </w:rPr>
        <w:t xml:space="preserve">Analyses didactiques des pratiques d’enseignement et de formation : quelles perspectives ? </w:t>
      </w:r>
    </w:p>
    <w:p w:rsidR="00BA2D7B" w:rsidRPr="00BA2D7B" w:rsidRDefault="00BA2D7B" w:rsidP="00BA2D7B">
      <w:pPr>
        <w:autoSpaceDE w:val="0"/>
        <w:autoSpaceDN w:val="0"/>
        <w:adjustRightInd w:val="0"/>
        <w:spacing w:line="240" w:lineRule="auto"/>
        <w:jc w:val="center"/>
        <w:rPr>
          <w:rFonts w:ascii="Times New Roman" w:hAnsi="Times New Roman" w:cs="Times New Roman"/>
          <w:b/>
          <w:bCs/>
          <w:sz w:val="24"/>
          <w:szCs w:val="24"/>
          <w:highlight w:val="lightGray"/>
        </w:rPr>
      </w:pPr>
    </w:p>
    <w:p w:rsidR="009E7853" w:rsidRPr="00BA2D7B" w:rsidRDefault="00BA2D7B" w:rsidP="00BA2D7B">
      <w:pPr>
        <w:autoSpaceDE w:val="0"/>
        <w:autoSpaceDN w:val="0"/>
        <w:adjustRightInd w:val="0"/>
        <w:spacing w:line="240" w:lineRule="auto"/>
        <w:jc w:val="center"/>
        <w:rPr>
          <w:rFonts w:ascii="Times New Roman" w:hAnsi="Times New Roman" w:cs="Times New Roman"/>
          <w:b/>
          <w:bCs/>
          <w:sz w:val="24"/>
          <w:szCs w:val="24"/>
          <w:highlight w:val="lightGray"/>
        </w:rPr>
      </w:pPr>
      <w:r w:rsidRPr="00BA2D7B">
        <w:rPr>
          <w:rFonts w:ascii="Times New Roman" w:hAnsi="Times New Roman" w:cs="Times New Roman"/>
          <w:b/>
          <w:bCs/>
          <w:sz w:val="24"/>
          <w:szCs w:val="24"/>
          <w:highlight w:val="lightGray"/>
        </w:rPr>
        <w:t>Du 8 au 11 mars 2016</w:t>
      </w:r>
      <w:r w:rsidR="009E7853" w:rsidRPr="00BA2D7B">
        <w:rPr>
          <w:rFonts w:ascii="Times New Roman" w:hAnsi="Times New Roman" w:cs="Times New Roman"/>
          <w:b/>
          <w:bCs/>
          <w:sz w:val="24"/>
          <w:szCs w:val="24"/>
          <w:highlight w:val="lightGray"/>
        </w:rPr>
        <w:t xml:space="preserve">     </w:t>
      </w:r>
      <w:r w:rsidR="009E7853" w:rsidRPr="00BA2D7B">
        <w:rPr>
          <w:rFonts w:ascii="Times New Roman" w:hAnsi="Times New Roman" w:cs="Times New Roman"/>
          <w:sz w:val="24"/>
          <w:szCs w:val="24"/>
          <w:highlight w:val="lightGray"/>
          <w:shd w:val="clear" w:color="auto" w:fill="FFFFFF"/>
        </w:rPr>
        <w:t xml:space="preserve">- </w:t>
      </w:r>
      <w:r w:rsidRPr="00BA2D7B">
        <w:rPr>
          <w:rFonts w:ascii="Times New Roman" w:hAnsi="Times New Roman" w:cs="Times New Roman"/>
          <w:b/>
          <w:bCs/>
          <w:sz w:val="24"/>
          <w:szCs w:val="24"/>
          <w:highlight w:val="lightGray"/>
        </w:rPr>
        <w:t>Toulouse</w:t>
      </w:r>
      <w:r w:rsidR="005619AA" w:rsidRPr="00BA2D7B">
        <w:rPr>
          <w:rFonts w:ascii="Times New Roman" w:hAnsi="Times New Roman" w:cs="Times New Roman"/>
          <w:b/>
          <w:bCs/>
          <w:sz w:val="24"/>
          <w:szCs w:val="24"/>
          <w:highlight w:val="lightGray"/>
        </w:rPr>
        <w:t xml:space="preserve"> </w:t>
      </w:r>
      <w:r w:rsidR="009E7853" w:rsidRPr="00BA2D7B">
        <w:rPr>
          <w:rFonts w:ascii="Times New Roman" w:hAnsi="Times New Roman" w:cs="Times New Roman"/>
          <w:b/>
          <w:bCs/>
          <w:sz w:val="24"/>
          <w:szCs w:val="24"/>
          <w:highlight w:val="lightGray"/>
          <w:shd w:val="clear" w:color="auto" w:fill="FFFFFF"/>
        </w:rPr>
        <w:t xml:space="preserve">– </w:t>
      </w:r>
      <w:r w:rsidRPr="00BA2D7B">
        <w:rPr>
          <w:rFonts w:ascii="Times New Roman" w:hAnsi="Times New Roman" w:cs="Times New Roman"/>
          <w:b/>
          <w:bCs/>
          <w:sz w:val="24"/>
          <w:szCs w:val="24"/>
          <w:highlight w:val="lightGray"/>
          <w:shd w:val="clear" w:color="auto" w:fill="FFFFFF"/>
        </w:rPr>
        <w:t>FRANCE</w:t>
      </w:r>
      <w:r w:rsidR="009E7853" w:rsidRPr="00BA2D7B">
        <w:rPr>
          <w:rFonts w:ascii="Times New Roman" w:hAnsi="Times New Roman" w:cs="Times New Roman"/>
          <w:b/>
          <w:bCs/>
          <w:sz w:val="24"/>
          <w:szCs w:val="24"/>
          <w:highlight w:val="lightGray"/>
          <w:shd w:val="clear" w:color="auto" w:fill="FFFFFF"/>
        </w:rPr>
        <w:t xml:space="preserve"> </w:t>
      </w:r>
      <w:r w:rsidR="009E7853" w:rsidRPr="00BA2D7B">
        <w:rPr>
          <w:rFonts w:ascii="Times New Roman" w:hAnsi="Times New Roman" w:cs="Times New Roman"/>
          <w:b/>
          <w:bCs/>
          <w:sz w:val="24"/>
          <w:szCs w:val="24"/>
          <w:highlight w:val="lightGray"/>
        </w:rPr>
        <w:t>–</w:t>
      </w:r>
    </w:p>
    <w:p w:rsidR="00A15C53" w:rsidRDefault="00A15C53" w:rsidP="00C90C1B">
      <w:pPr>
        <w:pStyle w:val="Sansinterligne"/>
        <w:rPr>
          <w:rFonts w:ascii="Times New Roman" w:hAnsi="Times New Roman" w:cs="Times New Roman"/>
          <w:sz w:val="18"/>
          <w:szCs w:val="18"/>
          <w:lang w:val="fr-CA"/>
        </w:rPr>
        <w:sectPr w:rsidR="00A15C53" w:rsidSect="007B3C34">
          <w:pgSz w:w="11906" w:h="16838"/>
          <w:pgMar w:top="1417" w:right="1417" w:bottom="1417" w:left="1417" w:header="708" w:footer="708" w:gutter="0"/>
          <w:cols w:space="708"/>
          <w:docGrid w:linePitch="360"/>
        </w:sectPr>
      </w:pPr>
    </w:p>
    <w:p w:rsidR="00C90C1B" w:rsidRPr="00B64389" w:rsidRDefault="00B164B5" w:rsidP="00C90C1B">
      <w:pPr>
        <w:pStyle w:val="Sansinterligne"/>
        <w:rPr>
          <w:rFonts w:ascii="Times New Roman" w:hAnsi="Times New Roman" w:cs="Times New Roman"/>
          <w:sz w:val="18"/>
          <w:szCs w:val="18"/>
          <w:lang w:val="fr-CA"/>
        </w:rPr>
      </w:pPr>
      <w:r>
        <w:rPr>
          <w:rFonts w:ascii="Times New Roman" w:hAnsi="Times New Roman" w:cs="Times New Roman"/>
          <w:sz w:val="18"/>
          <w:szCs w:val="18"/>
          <w:lang w:val="fr-CA"/>
        </w:rPr>
        <w:lastRenderedPageBreak/>
        <w:t>CHIKHI</w:t>
      </w:r>
      <w:r w:rsidR="00C90C1B" w:rsidRPr="00B64389">
        <w:rPr>
          <w:rFonts w:ascii="Times New Roman" w:hAnsi="Times New Roman" w:cs="Times New Roman"/>
          <w:sz w:val="18"/>
          <w:szCs w:val="18"/>
          <w:lang w:val="fr-CA"/>
        </w:rPr>
        <w:t xml:space="preserve"> Nadjet  </w:t>
      </w:r>
    </w:p>
    <w:p w:rsidR="00C90C1B" w:rsidRPr="00B64389" w:rsidRDefault="00C90C1B" w:rsidP="00C90C1B">
      <w:pPr>
        <w:pStyle w:val="Sansinterligne"/>
        <w:rPr>
          <w:rFonts w:ascii="Times New Roman" w:hAnsi="Times New Roman" w:cs="Times New Roman"/>
          <w:sz w:val="18"/>
          <w:szCs w:val="18"/>
          <w:lang w:val="fr-CA"/>
        </w:rPr>
      </w:pPr>
      <w:r w:rsidRPr="00B64389">
        <w:rPr>
          <w:rFonts w:ascii="Times New Roman" w:hAnsi="Times New Roman" w:cs="Times New Roman"/>
          <w:sz w:val="18"/>
          <w:szCs w:val="18"/>
          <w:lang w:val="fr-CA"/>
        </w:rPr>
        <w:t>Doctorante en Didactique des Langues Étrangères</w:t>
      </w:r>
    </w:p>
    <w:p w:rsidR="00C90C1B" w:rsidRPr="00B64389" w:rsidRDefault="00C90C1B" w:rsidP="00C90C1B">
      <w:pPr>
        <w:pStyle w:val="Sansinterligne"/>
        <w:rPr>
          <w:rFonts w:ascii="Times New Roman" w:hAnsi="Times New Roman" w:cs="Times New Roman"/>
          <w:sz w:val="18"/>
          <w:szCs w:val="18"/>
          <w:lang w:val="fr-CA"/>
        </w:rPr>
      </w:pPr>
      <w:r>
        <w:rPr>
          <w:rFonts w:ascii="Times New Roman" w:hAnsi="Times New Roman" w:cs="Times New Roman"/>
          <w:sz w:val="18"/>
          <w:szCs w:val="18"/>
          <w:lang w:val="fr-CA"/>
        </w:rPr>
        <w:t>EDAF (</w:t>
      </w:r>
      <w:r w:rsidRPr="00B64389">
        <w:rPr>
          <w:rFonts w:ascii="Times New Roman" w:hAnsi="Times New Roman" w:cs="Times New Roman"/>
          <w:sz w:val="18"/>
          <w:szCs w:val="18"/>
          <w:lang w:val="fr-CA"/>
        </w:rPr>
        <w:t>École Doctorale Algéro-Française</w:t>
      </w:r>
      <w:r>
        <w:rPr>
          <w:rFonts w:ascii="Times New Roman" w:hAnsi="Times New Roman" w:cs="Times New Roman"/>
          <w:sz w:val="18"/>
          <w:szCs w:val="18"/>
          <w:lang w:val="fr-CA"/>
        </w:rPr>
        <w:t>)</w:t>
      </w:r>
      <w:r w:rsidR="00A15C53">
        <w:rPr>
          <w:rFonts w:ascii="Times New Roman" w:hAnsi="Times New Roman" w:cs="Times New Roman"/>
          <w:sz w:val="18"/>
          <w:szCs w:val="18"/>
          <w:lang w:val="fr-CA"/>
        </w:rPr>
        <w:t xml:space="preserve">        </w:t>
      </w:r>
      <w:r w:rsidRPr="00B64389">
        <w:rPr>
          <w:rFonts w:ascii="Times New Roman" w:hAnsi="Times New Roman" w:cs="Times New Roman"/>
          <w:sz w:val="18"/>
          <w:szCs w:val="18"/>
          <w:lang w:val="fr-CA"/>
        </w:rPr>
        <w:tab/>
        <w:t xml:space="preserve">                           </w:t>
      </w:r>
    </w:p>
    <w:p w:rsidR="00C90C1B" w:rsidRPr="00B64389" w:rsidRDefault="00D22126" w:rsidP="00C90C1B">
      <w:pPr>
        <w:pStyle w:val="Sansinterligne"/>
        <w:rPr>
          <w:rFonts w:ascii="Times New Roman" w:hAnsi="Times New Roman" w:cs="Times New Roman"/>
          <w:sz w:val="18"/>
          <w:szCs w:val="18"/>
          <w:lang w:val="fr-CA"/>
        </w:rPr>
      </w:pPr>
      <w:r>
        <w:rPr>
          <w:rFonts w:ascii="Times New Roman" w:hAnsi="Times New Roman" w:cs="Times New Roman"/>
          <w:sz w:val="18"/>
          <w:szCs w:val="18"/>
          <w:lang w:val="fr-CA"/>
        </w:rPr>
        <w:t xml:space="preserve">Maître-assistante au </w:t>
      </w:r>
      <w:r w:rsidR="00C90C1B" w:rsidRPr="00B64389">
        <w:rPr>
          <w:rFonts w:ascii="Times New Roman" w:hAnsi="Times New Roman" w:cs="Times New Roman"/>
          <w:sz w:val="18"/>
          <w:szCs w:val="18"/>
          <w:lang w:val="fr-CA"/>
        </w:rPr>
        <w:t xml:space="preserve">Département de français </w:t>
      </w:r>
    </w:p>
    <w:p w:rsidR="00C90C1B" w:rsidRPr="00B64389" w:rsidRDefault="00C90C1B" w:rsidP="00C90C1B">
      <w:pPr>
        <w:pStyle w:val="Sansinterligne"/>
        <w:rPr>
          <w:rFonts w:ascii="Times New Roman" w:hAnsi="Times New Roman" w:cs="Times New Roman"/>
          <w:sz w:val="18"/>
          <w:szCs w:val="18"/>
          <w:lang w:val="fr-CA"/>
        </w:rPr>
      </w:pPr>
      <w:r w:rsidRPr="00B64389">
        <w:rPr>
          <w:rFonts w:ascii="Times New Roman" w:hAnsi="Times New Roman" w:cs="Times New Roman"/>
          <w:sz w:val="18"/>
          <w:szCs w:val="18"/>
          <w:lang w:val="fr-CA"/>
        </w:rPr>
        <w:t>Faculté des Lettres</w:t>
      </w:r>
      <w:r w:rsidR="002508C6">
        <w:rPr>
          <w:rFonts w:ascii="Times New Roman" w:hAnsi="Times New Roman" w:cs="Times New Roman"/>
          <w:sz w:val="18"/>
          <w:szCs w:val="18"/>
          <w:lang w:val="fr-CA"/>
        </w:rPr>
        <w:t xml:space="preserve"> et langues</w:t>
      </w:r>
      <w:r w:rsidRPr="00B64389">
        <w:rPr>
          <w:rFonts w:ascii="Times New Roman" w:hAnsi="Times New Roman" w:cs="Times New Roman"/>
          <w:sz w:val="18"/>
          <w:szCs w:val="18"/>
          <w:lang w:val="fr-CA"/>
        </w:rPr>
        <w:t>.</w:t>
      </w:r>
    </w:p>
    <w:p w:rsidR="00D22126" w:rsidRDefault="00C90C1B" w:rsidP="00D22126">
      <w:pPr>
        <w:pStyle w:val="Sansinterligne"/>
        <w:rPr>
          <w:rFonts w:ascii="Times New Roman" w:hAnsi="Times New Roman" w:cs="Times New Roman"/>
          <w:sz w:val="18"/>
          <w:szCs w:val="18"/>
          <w:lang w:val="fr-CA"/>
        </w:rPr>
      </w:pPr>
      <w:r w:rsidRPr="00B64389">
        <w:rPr>
          <w:rFonts w:ascii="Times New Roman" w:hAnsi="Times New Roman" w:cs="Times New Roman"/>
          <w:sz w:val="18"/>
          <w:szCs w:val="18"/>
          <w:lang w:val="fr-CA"/>
        </w:rPr>
        <w:t>U</w:t>
      </w:r>
      <w:r w:rsidR="00A15803">
        <w:rPr>
          <w:rFonts w:ascii="Times New Roman" w:hAnsi="Times New Roman" w:cs="Times New Roman"/>
          <w:sz w:val="18"/>
          <w:szCs w:val="18"/>
          <w:lang w:val="fr-CA"/>
        </w:rPr>
        <w:t>niversité de M’</w:t>
      </w:r>
      <w:proofErr w:type="spellStart"/>
      <w:r w:rsidR="00A15803">
        <w:rPr>
          <w:rFonts w:ascii="Times New Roman" w:hAnsi="Times New Roman" w:cs="Times New Roman"/>
          <w:sz w:val="18"/>
          <w:szCs w:val="18"/>
          <w:lang w:val="fr-CA"/>
        </w:rPr>
        <w:t>sila</w:t>
      </w:r>
      <w:proofErr w:type="spellEnd"/>
      <w:r w:rsidR="00A15803">
        <w:rPr>
          <w:rFonts w:ascii="Times New Roman" w:hAnsi="Times New Roman" w:cs="Times New Roman"/>
          <w:sz w:val="18"/>
          <w:szCs w:val="18"/>
          <w:lang w:val="fr-CA"/>
        </w:rPr>
        <w:t xml:space="preserve"> -28000- ALGÉRIE</w:t>
      </w:r>
      <w:r w:rsidR="00A15803" w:rsidRPr="00B64389">
        <w:rPr>
          <w:rFonts w:ascii="Times New Roman" w:hAnsi="Times New Roman" w:cs="Times New Roman"/>
          <w:sz w:val="18"/>
          <w:szCs w:val="18"/>
          <w:lang w:val="fr-CA"/>
        </w:rPr>
        <w:t>.</w:t>
      </w:r>
      <w:bookmarkStart w:id="0" w:name="_GoBack"/>
      <w:bookmarkEnd w:id="0"/>
    </w:p>
    <w:p w:rsidR="00BA2D7B" w:rsidRPr="00BA2D7B" w:rsidRDefault="00BA2D7B" w:rsidP="00BA2D7B">
      <w:pPr>
        <w:spacing w:before="240"/>
        <w:jc w:val="center"/>
        <w:rPr>
          <w:rFonts w:ascii="Times New Roman" w:hAnsi="Times New Roman" w:cs="Times New Roman"/>
          <w:b/>
          <w:sz w:val="28"/>
          <w:szCs w:val="28"/>
        </w:rPr>
      </w:pPr>
      <w:r w:rsidRPr="00BA2D7B">
        <w:rPr>
          <w:rFonts w:ascii="Times New Roman" w:hAnsi="Times New Roman" w:cs="Times New Roman"/>
          <w:b/>
          <w:sz w:val="28"/>
          <w:szCs w:val="28"/>
        </w:rPr>
        <w:t>Vers une didactique du lexique de spécialité : cas du vocabulaire médical à l’Institut National de Formation Supérieure Paramédicale</w:t>
      </w:r>
    </w:p>
    <w:p w:rsidR="00BA2D7B" w:rsidRDefault="00DF05E8" w:rsidP="00E23703">
      <w:pPr>
        <w:spacing w:before="240" w:line="360" w:lineRule="auto"/>
        <w:jc w:val="both"/>
        <w:rPr>
          <w:rFonts w:ascii="Times New Roman" w:hAnsi="Times New Roman" w:cs="Times New Roman"/>
          <w:b/>
          <w:sz w:val="24"/>
          <w:szCs w:val="24"/>
        </w:rPr>
      </w:pPr>
      <w:r w:rsidRPr="00FF5229">
        <w:rPr>
          <w:rFonts w:ascii="Times New Roman" w:hAnsi="Times New Roman" w:cs="Times New Roman"/>
          <w:b/>
          <w:sz w:val="24"/>
          <w:szCs w:val="24"/>
        </w:rPr>
        <w:t>Résumé :</w:t>
      </w:r>
      <w:r w:rsidR="00F625E2" w:rsidRPr="00FF5229">
        <w:rPr>
          <w:rFonts w:ascii="Times New Roman" w:hAnsi="Times New Roman" w:cs="Times New Roman"/>
          <w:sz w:val="24"/>
          <w:szCs w:val="24"/>
        </w:rPr>
        <w:t xml:space="preserve"> </w:t>
      </w:r>
      <w:r w:rsidR="00BA2D7B" w:rsidRPr="00BA2D7B">
        <w:rPr>
          <w:rFonts w:ascii="Times New Roman" w:hAnsi="Times New Roman" w:cs="Times New Roman"/>
          <w:sz w:val="24"/>
          <w:szCs w:val="24"/>
        </w:rPr>
        <w:t>Inspirée des démarches en didactique du lexique général, la présente étude expose l’expérimentation d’une méthode d’enseignement stratégique du vocabulaire médical à l’Institut National de Formation Supérieure Paramédicale. Un  ensemble de données revient à un questionnaire auto-administré et un autre à une expérimentation : les deux complétés par des observations en situation et quelques entretiens semi-directifs.  Dans un premier temps, à travers le questionnaire, les représentations du lexique médical et de son enseignement sont repérables dans le discours des étudiants décrivant leurs besoins, leurs apprentissages et leurs cours de terminologie. Ensuite, de par la description de la démarche employée, des données analysables ressortent des différentes séquences didactiques. Enfin,  notre  problématique étant de  voir si la méthode que nous proposons permet d’optimiser l’enseignement/apprentissage du vocabulaire médical, afin d’évaluer ses retombées, nous avons procédé à une étude comparative entre les données de la pré et celles de la post expérimentation. À travers le dépouillement de ces données, les résultats statistiquement significatifs démontrent les bénéfices certains d’un tel enseignement. Ils indiquent aussi des pistes de recherches telles que : travailler sur les représentations des étudiants ; ou développer chez les enseignants de langue des compétences méthodologique en didactique des langues de spécialité.</w:t>
      </w:r>
    </w:p>
    <w:p w:rsidR="00D22126" w:rsidRDefault="00BA2D7B" w:rsidP="00E23703">
      <w:pPr>
        <w:spacing w:before="240" w:line="360" w:lineRule="auto"/>
        <w:jc w:val="both"/>
        <w:rPr>
          <w:rFonts w:ascii="Times New Roman" w:hAnsi="Times New Roman" w:cs="Times New Roman"/>
          <w:sz w:val="24"/>
          <w:szCs w:val="24"/>
        </w:rPr>
      </w:pPr>
      <w:r w:rsidRPr="00BA2D7B">
        <w:rPr>
          <w:rFonts w:ascii="Times New Roman" w:hAnsi="Times New Roman" w:cs="Times New Roman"/>
          <w:b/>
          <w:sz w:val="24"/>
          <w:szCs w:val="24"/>
        </w:rPr>
        <w:t xml:space="preserve">Mots-clés : </w:t>
      </w:r>
      <w:r w:rsidRPr="00BA2D7B">
        <w:rPr>
          <w:rFonts w:ascii="Times New Roman" w:hAnsi="Times New Roman" w:cs="Times New Roman"/>
          <w:sz w:val="24"/>
          <w:szCs w:val="24"/>
        </w:rPr>
        <w:t>didactique du lexique, vocabulaire de spécialité, enseignement stratégique, langue de spécialité,  représentations</w:t>
      </w:r>
    </w:p>
    <w:p w:rsidR="00162344" w:rsidRPr="00E23703" w:rsidRDefault="00E23703" w:rsidP="00E23703">
      <w:pPr>
        <w:spacing w:line="36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r w:rsidR="00162344" w:rsidRPr="00162344">
        <w:rPr>
          <w:rFonts w:ascii="Times New Roman" w:eastAsia="Calibri" w:hAnsi="Times New Roman" w:cs="Times New Roman"/>
          <w:b/>
          <w:sz w:val="24"/>
          <w:szCs w:val="24"/>
          <w:lang w:eastAsia="en-US"/>
        </w:rPr>
        <w:lastRenderedPageBreak/>
        <w:t>1. État des lieux</w:t>
      </w:r>
      <w:r w:rsidR="00162344">
        <w:rPr>
          <w:rFonts w:ascii="Times New Roman" w:eastAsia="Calibri" w:hAnsi="Times New Roman" w:cs="Times New Roman"/>
          <w:b/>
          <w:sz w:val="24"/>
          <w:szCs w:val="24"/>
          <w:lang w:eastAsia="en-US"/>
        </w:rPr>
        <w:t xml:space="preserve"> de la recherche </w:t>
      </w:r>
    </w:p>
    <w:p w:rsidR="00162344" w:rsidRDefault="00162344" w:rsidP="00162344">
      <w:pPr>
        <w:spacing w:before="240" w:line="240" w:lineRule="auto"/>
        <w:jc w:val="both"/>
        <w:rPr>
          <w:rFonts w:ascii="Times New Roman" w:eastAsia="Calibri" w:hAnsi="Times New Roman" w:cs="Times New Roman"/>
          <w:sz w:val="24"/>
          <w:szCs w:val="24"/>
          <w:lang w:eastAsia="en-US"/>
        </w:rPr>
      </w:pPr>
      <w:r w:rsidRPr="00162344">
        <w:rPr>
          <w:rFonts w:ascii="Times New Roman" w:eastAsia="Calibri" w:hAnsi="Times New Roman" w:cs="Times New Roman"/>
          <w:sz w:val="24"/>
          <w:szCs w:val="24"/>
          <w:lang w:eastAsia="en-US"/>
        </w:rPr>
        <w:t xml:space="preserve">Ce travail résulte d'une réflexion sur l'enseignement du français médicale destiné aux étudiants inscrits en  première année  à la filière médico-technique, de l'Institut Nationale de Formation Paramédicale (INFP) au niveau duquel les études et la documentation sont dispensés essentiellement en langue française. </w:t>
      </w:r>
    </w:p>
    <w:p w:rsidR="00162344" w:rsidRPr="00162344" w:rsidRDefault="00162344" w:rsidP="00162344">
      <w:pPr>
        <w:spacing w:before="240" w:line="240" w:lineRule="auto"/>
        <w:jc w:val="both"/>
        <w:rPr>
          <w:rFonts w:ascii="Times New Roman" w:eastAsia="Calibri" w:hAnsi="Times New Roman" w:cs="Times New Roman"/>
          <w:sz w:val="24"/>
          <w:szCs w:val="24"/>
          <w:lang w:eastAsia="en-US"/>
        </w:rPr>
      </w:pPr>
      <w:r w:rsidRPr="00162344">
        <w:rPr>
          <w:rFonts w:ascii="Times New Roman" w:eastAsia="Calibri" w:hAnsi="Times New Roman" w:cs="Times New Roman"/>
          <w:sz w:val="24"/>
          <w:szCs w:val="24"/>
          <w:lang w:eastAsia="en-US"/>
        </w:rPr>
        <w:t>Pour l’étudiant algérien qui - en s’inscrivant à l’université - passe de l’apprentissage du français en tant que langue étrangère à un apprentissage des disciplines scientifiques et technique en langue française, l’entrée dans son nouveau domaine d’études marque une rupture avec sa formation antérieure et suscite des besoins en français langue de spécialité rajoutés aux besoins qu’à tout apprenant de langue étrangère.</w:t>
      </w:r>
    </w:p>
    <w:p w:rsidR="00162344" w:rsidRDefault="00162344" w:rsidP="00162344">
      <w:pPr>
        <w:spacing w:before="240" w:line="240" w:lineRule="auto"/>
        <w:jc w:val="both"/>
        <w:rPr>
          <w:rFonts w:ascii="Times New Roman" w:eastAsia="Calibri" w:hAnsi="Times New Roman" w:cs="Times New Roman"/>
          <w:sz w:val="24"/>
          <w:szCs w:val="24"/>
          <w:lang w:eastAsia="en-US"/>
        </w:rPr>
      </w:pPr>
      <w:r w:rsidRPr="00162344">
        <w:rPr>
          <w:rFonts w:ascii="Times New Roman" w:eastAsia="Calibri" w:hAnsi="Times New Roman" w:cs="Times New Roman"/>
          <w:sz w:val="24"/>
          <w:szCs w:val="24"/>
          <w:lang w:eastAsia="en-US"/>
        </w:rPr>
        <w:t>Afin de fournir à ces étudiants des mesures d’aide adaptées à leurs problèmes</w:t>
      </w:r>
      <w:r>
        <w:rPr>
          <w:rFonts w:ascii="Times New Roman" w:eastAsia="Calibri" w:hAnsi="Times New Roman" w:cs="Times New Roman"/>
          <w:sz w:val="24"/>
          <w:szCs w:val="24"/>
          <w:lang w:eastAsia="en-US"/>
        </w:rPr>
        <w:t xml:space="preserve"> et à leurs besoins</w:t>
      </w:r>
      <w:r w:rsidRPr="00162344">
        <w:rPr>
          <w:rFonts w:ascii="Times New Roman" w:eastAsia="Calibri" w:hAnsi="Times New Roman" w:cs="Times New Roman"/>
          <w:sz w:val="24"/>
          <w:szCs w:val="24"/>
          <w:lang w:eastAsia="en-US"/>
        </w:rPr>
        <w:t>, un dispositif existe avec l’avènement du LMD. Il s’agit de la programmation des cours de FLE  et/ou de terminologie  issue d’une approche lexicale mettant en relation la langue et la discipline, dispensés  par des enseignants de langue.</w:t>
      </w:r>
    </w:p>
    <w:p w:rsidR="00162344" w:rsidRDefault="00E23703" w:rsidP="00162344">
      <w:pPr>
        <w:spacing w:before="24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D’un côté, l</w:t>
      </w:r>
      <w:r w:rsidR="00162344" w:rsidRPr="00162344">
        <w:rPr>
          <w:rFonts w:ascii="Times New Roman" w:eastAsia="Calibri" w:hAnsi="Times New Roman" w:cs="Times New Roman"/>
          <w:sz w:val="24"/>
          <w:szCs w:val="24"/>
          <w:lang w:eastAsia="en-US"/>
        </w:rPr>
        <w:t xml:space="preserve">es étudiants ont des difficultés pour retenir le lexique médical et le réutiliser. </w:t>
      </w:r>
      <w:r>
        <w:rPr>
          <w:rFonts w:ascii="Times New Roman" w:eastAsia="Calibri" w:hAnsi="Times New Roman" w:cs="Times New Roman"/>
          <w:sz w:val="24"/>
          <w:szCs w:val="24"/>
          <w:lang w:eastAsia="en-US"/>
        </w:rPr>
        <w:t>Et d’un autre côté, les</w:t>
      </w:r>
      <w:r w:rsidR="00162344" w:rsidRPr="00162344">
        <w:rPr>
          <w:rFonts w:ascii="Times New Roman" w:eastAsia="Calibri" w:hAnsi="Times New Roman" w:cs="Times New Roman"/>
          <w:sz w:val="24"/>
          <w:szCs w:val="24"/>
          <w:lang w:eastAsia="en-US"/>
        </w:rPr>
        <w:t xml:space="preserve"> enseignants de langue, éprouvent des difficultés avec les termes médicaux d'autant plus qu’il n’existe ni manuel ni supports pédagogiques sur  lesquels prendre appui.</w:t>
      </w:r>
    </w:p>
    <w:p w:rsidR="00162344" w:rsidRPr="00162344" w:rsidRDefault="00162344" w:rsidP="00162344">
      <w:pPr>
        <w:spacing w:line="240" w:lineRule="auto"/>
        <w:rPr>
          <w:rFonts w:ascii="Times New Roman" w:eastAsia="Calibri" w:hAnsi="Times New Roman" w:cs="Times New Roman"/>
          <w:b/>
          <w:sz w:val="24"/>
          <w:szCs w:val="24"/>
          <w:lang w:eastAsia="en-US"/>
        </w:rPr>
      </w:pPr>
      <w:r w:rsidRPr="00162344">
        <w:rPr>
          <w:rFonts w:ascii="Times New Roman" w:eastAsia="Calibri" w:hAnsi="Times New Roman" w:cs="Times New Roman"/>
          <w:b/>
          <w:sz w:val="24"/>
          <w:szCs w:val="24"/>
          <w:lang w:eastAsia="en-US"/>
        </w:rPr>
        <w:t>2. Problématique et hypothèse</w:t>
      </w:r>
    </w:p>
    <w:p w:rsidR="00162344" w:rsidRPr="00162344" w:rsidRDefault="00162344" w:rsidP="00162344">
      <w:pPr>
        <w:spacing w:line="240" w:lineRule="auto"/>
        <w:jc w:val="both"/>
        <w:rPr>
          <w:rFonts w:ascii="Times New Roman" w:eastAsia="Calibri" w:hAnsi="Times New Roman" w:cs="Times New Roman"/>
          <w:sz w:val="24"/>
          <w:szCs w:val="24"/>
          <w:lang w:eastAsia="en-US"/>
        </w:rPr>
      </w:pPr>
      <w:r w:rsidRPr="00162344">
        <w:rPr>
          <w:rFonts w:ascii="Times New Roman" w:eastAsia="Calibri" w:hAnsi="Times New Roman" w:cs="Times New Roman"/>
          <w:sz w:val="24"/>
          <w:szCs w:val="24"/>
          <w:lang w:eastAsia="en-US"/>
        </w:rPr>
        <w:t xml:space="preserve">Des constatations précédentes, émane une question à laquelle cette étude tente de répondre : Comment peut-on assurer l’enseignement du vocabulaire médical à la filière médico-technique de l’INFP ?  À partir de cette problématique nous avons émis une l’hypothèse stipulant que si on aborde le lexique de spécialité selon les méthodes relevant tour à tour des logiques linguistiques en didactique du lexique et celles disciplinaires en didactique des langues de spécialité, il est tout à fait possible pour les enseignants de langue d’assurer l’enseignement du lexique de spécialité sans pour autant être spécialiste du domaine. Ses enseignants peuvent aboutir à un apprentissage signifiant du vocabulaire médical en envisageant ce lexique dans le cadre de l’enseignement stratégique tout en s’inspirant dans leurs pratiques pédagogiques de l’enseignement du lexique général. </w:t>
      </w:r>
    </w:p>
    <w:p w:rsidR="00162344" w:rsidRPr="00162344" w:rsidRDefault="00162344" w:rsidP="00162344">
      <w:pPr>
        <w:spacing w:line="240" w:lineRule="auto"/>
        <w:rPr>
          <w:rFonts w:ascii="Times New Roman" w:eastAsia="Calibri" w:hAnsi="Times New Roman" w:cs="Times New Roman"/>
          <w:b/>
          <w:sz w:val="24"/>
          <w:szCs w:val="24"/>
          <w:lang w:eastAsia="en-US"/>
        </w:rPr>
      </w:pPr>
      <w:r w:rsidRPr="00162344">
        <w:rPr>
          <w:rFonts w:ascii="Times New Roman" w:eastAsia="Calibri" w:hAnsi="Times New Roman" w:cs="Times New Roman"/>
          <w:b/>
          <w:sz w:val="24"/>
          <w:szCs w:val="24"/>
          <w:lang w:eastAsia="en-US"/>
        </w:rPr>
        <w:t xml:space="preserve">3. Démarche didactique </w:t>
      </w:r>
    </w:p>
    <w:p w:rsidR="00162344" w:rsidRPr="00162344" w:rsidRDefault="00162344" w:rsidP="00E23703">
      <w:pPr>
        <w:spacing w:line="240" w:lineRule="auto"/>
        <w:jc w:val="both"/>
        <w:rPr>
          <w:rFonts w:ascii="Times New Roman" w:eastAsia="Calibri" w:hAnsi="Times New Roman" w:cs="Times New Roman"/>
          <w:b/>
          <w:sz w:val="24"/>
          <w:szCs w:val="24"/>
          <w:lang w:eastAsia="en-US"/>
        </w:rPr>
      </w:pPr>
      <w:r w:rsidRPr="00162344">
        <w:rPr>
          <w:rFonts w:ascii="Times New Roman" w:eastAsia="Calibri" w:hAnsi="Times New Roman" w:cs="Times New Roman"/>
          <w:sz w:val="24"/>
          <w:szCs w:val="24"/>
          <w:lang w:eastAsia="en-US"/>
        </w:rPr>
        <w:t>Les propositions didactiques de ce travail peuvent se résumer en deux points. D’un côté,</w:t>
      </w:r>
      <w:r w:rsidR="0067759F">
        <w:rPr>
          <w:rFonts w:ascii="Times New Roman" w:eastAsia="Calibri" w:hAnsi="Times New Roman" w:cs="Times New Roman"/>
          <w:sz w:val="24"/>
          <w:szCs w:val="24"/>
          <w:lang w:eastAsia="en-US"/>
        </w:rPr>
        <w:t xml:space="preserve"> partant du postulat qu’il est indispensable de connaître le public avant toute intervention didactique, nous présenterons le public d’</w:t>
      </w:r>
      <w:r w:rsidRPr="00162344">
        <w:rPr>
          <w:rFonts w:ascii="Times New Roman" w:eastAsia="Calibri" w:hAnsi="Times New Roman" w:cs="Times New Roman"/>
          <w:sz w:val="24"/>
          <w:szCs w:val="24"/>
          <w:lang w:eastAsia="en-US"/>
        </w:rPr>
        <w:t xml:space="preserve">étudiants </w:t>
      </w:r>
      <w:r w:rsidR="0067759F">
        <w:rPr>
          <w:rFonts w:ascii="Times New Roman" w:eastAsia="Calibri" w:hAnsi="Times New Roman" w:cs="Times New Roman"/>
          <w:sz w:val="24"/>
          <w:szCs w:val="24"/>
          <w:lang w:eastAsia="en-US"/>
        </w:rPr>
        <w:t>de l’INFP</w:t>
      </w:r>
      <w:r w:rsidRPr="00162344">
        <w:rPr>
          <w:rFonts w:ascii="Times New Roman" w:eastAsia="Calibri" w:hAnsi="Times New Roman" w:cs="Times New Roman"/>
          <w:sz w:val="24"/>
          <w:szCs w:val="24"/>
          <w:lang w:eastAsia="en-US"/>
        </w:rPr>
        <w:t xml:space="preserve"> : </w:t>
      </w:r>
      <w:r w:rsidR="0067759F">
        <w:rPr>
          <w:rFonts w:ascii="Times New Roman" w:eastAsia="Calibri" w:hAnsi="Times New Roman" w:cs="Times New Roman"/>
          <w:sz w:val="24"/>
          <w:szCs w:val="24"/>
          <w:lang w:eastAsia="en-US"/>
        </w:rPr>
        <w:t xml:space="preserve">leurs difficultés, leurs besoins, </w:t>
      </w:r>
      <w:r w:rsidR="00E23703">
        <w:rPr>
          <w:rFonts w:ascii="Times New Roman" w:eastAsia="Calibri" w:hAnsi="Times New Roman" w:cs="Times New Roman"/>
          <w:sz w:val="24"/>
          <w:szCs w:val="24"/>
          <w:lang w:eastAsia="en-US"/>
        </w:rPr>
        <w:t xml:space="preserve">leurs </w:t>
      </w:r>
      <w:r w:rsidRPr="00162344">
        <w:rPr>
          <w:rFonts w:ascii="Times New Roman" w:eastAsia="Calibri" w:hAnsi="Times New Roman" w:cs="Times New Roman"/>
          <w:sz w:val="24"/>
          <w:szCs w:val="24"/>
          <w:lang w:eastAsia="en-US"/>
        </w:rPr>
        <w:t>représentations et leurs attentes.</w:t>
      </w:r>
      <w:r w:rsidR="0067759F">
        <w:rPr>
          <w:rFonts w:ascii="Times New Roman" w:eastAsia="Calibri" w:hAnsi="Times New Roman" w:cs="Times New Roman"/>
          <w:sz w:val="24"/>
          <w:szCs w:val="24"/>
          <w:lang w:eastAsia="en-US"/>
        </w:rPr>
        <w:t xml:space="preserve"> Et d</w:t>
      </w:r>
      <w:r w:rsidRPr="00162344">
        <w:rPr>
          <w:rFonts w:ascii="Times New Roman" w:eastAsia="Calibri" w:hAnsi="Times New Roman" w:cs="Times New Roman"/>
          <w:sz w:val="24"/>
          <w:szCs w:val="24"/>
          <w:lang w:eastAsia="en-US"/>
        </w:rPr>
        <w:t xml:space="preserve">’autre côté, </w:t>
      </w:r>
      <w:r w:rsidR="00E23703" w:rsidRPr="00162344">
        <w:rPr>
          <w:rFonts w:ascii="Times New Roman" w:eastAsia="Calibri" w:hAnsi="Times New Roman" w:cs="Times New Roman"/>
          <w:sz w:val="24"/>
          <w:szCs w:val="24"/>
          <w:lang w:eastAsia="en-US"/>
        </w:rPr>
        <w:t>en nous inspirant des méthodes de didactique du lexique général notamment de l’approche lexicale de Cavalla et Crozier (2005) et des travaux sur la terminologie médicale précisément ceux du pratiques du mot médical de Thieulle (2002)</w:t>
      </w:r>
      <w:r w:rsidR="00E23703">
        <w:rPr>
          <w:rFonts w:ascii="Times New Roman" w:eastAsia="Calibri" w:hAnsi="Times New Roman" w:cs="Times New Roman"/>
          <w:sz w:val="24"/>
          <w:szCs w:val="24"/>
          <w:lang w:eastAsia="en-US"/>
        </w:rPr>
        <w:t xml:space="preserve">, nous </w:t>
      </w:r>
      <w:r w:rsidRPr="00162344">
        <w:rPr>
          <w:rFonts w:ascii="Times New Roman" w:eastAsia="Calibri" w:hAnsi="Times New Roman" w:cs="Times New Roman"/>
          <w:sz w:val="24"/>
          <w:szCs w:val="24"/>
          <w:lang w:eastAsia="en-US"/>
        </w:rPr>
        <w:t>expérimenter</w:t>
      </w:r>
      <w:r w:rsidR="00E23703">
        <w:rPr>
          <w:rFonts w:ascii="Times New Roman" w:eastAsia="Calibri" w:hAnsi="Times New Roman" w:cs="Times New Roman"/>
          <w:sz w:val="24"/>
          <w:szCs w:val="24"/>
          <w:lang w:eastAsia="en-US"/>
        </w:rPr>
        <w:t>ons</w:t>
      </w:r>
      <w:r w:rsidRPr="00162344">
        <w:rPr>
          <w:rFonts w:ascii="Times New Roman" w:eastAsia="Calibri" w:hAnsi="Times New Roman" w:cs="Times New Roman"/>
          <w:sz w:val="24"/>
          <w:szCs w:val="24"/>
          <w:lang w:eastAsia="en-US"/>
        </w:rPr>
        <w:t xml:space="preserve"> une méthode d’enseignement str</w:t>
      </w:r>
      <w:r w:rsidR="00E23703">
        <w:rPr>
          <w:rFonts w:ascii="Times New Roman" w:eastAsia="Calibri" w:hAnsi="Times New Roman" w:cs="Times New Roman"/>
          <w:sz w:val="24"/>
          <w:szCs w:val="24"/>
          <w:lang w:eastAsia="en-US"/>
        </w:rPr>
        <w:t xml:space="preserve">atégique du vocabulaire médical : une leçon zéro, sensibilisation, nomination, renforcement-fixation et réutilisation. </w:t>
      </w:r>
    </w:p>
    <w:p w:rsidR="00162344" w:rsidRPr="00162344" w:rsidRDefault="00162344" w:rsidP="00162344">
      <w:pPr>
        <w:spacing w:line="240" w:lineRule="auto"/>
        <w:rPr>
          <w:rFonts w:ascii="Times New Roman" w:eastAsia="Calibri" w:hAnsi="Times New Roman" w:cs="Times New Roman"/>
          <w:b/>
          <w:sz w:val="24"/>
          <w:szCs w:val="24"/>
          <w:lang w:eastAsia="en-US"/>
        </w:rPr>
      </w:pPr>
      <w:r w:rsidRPr="00162344">
        <w:rPr>
          <w:rFonts w:ascii="Times New Roman" w:eastAsia="Calibri" w:hAnsi="Times New Roman" w:cs="Times New Roman"/>
          <w:b/>
          <w:sz w:val="24"/>
          <w:szCs w:val="24"/>
          <w:lang w:eastAsia="en-US"/>
        </w:rPr>
        <w:t xml:space="preserve">Premiers résultats </w:t>
      </w:r>
    </w:p>
    <w:p w:rsidR="00DB0107" w:rsidRDefault="00162344" w:rsidP="00DB0107">
      <w:pPr>
        <w:spacing w:line="240" w:lineRule="auto"/>
        <w:jc w:val="both"/>
        <w:rPr>
          <w:rFonts w:ascii="Times New Roman" w:eastAsia="Calibri" w:hAnsi="Times New Roman" w:cs="Times New Roman"/>
          <w:sz w:val="24"/>
          <w:szCs w:val="24"/>
          <w:lang w:eastAsia="en-US"/>
        </w:rPr>
      </w:pPr>
      <w:r w:rsidRPr="00162344">
        <w:rPr>
          <w:rFonts w:ascii="Times New Roman" w:eastAsia="Calibri" w:hAnsi="Times New Roman" w:cs="Times New Roman"/>
          <w:sz w:val="24"/>
          <w:szCs w:val="24"/>
          <w:lang w:eastAsia="en-US"/>
        </w:rPr>
        <w:t>Notre expérimentation a pu confirmer l’impact positif de la méthode que nous avons adopté pour l’enseig</w:t>
      </w:r>
      <w:r w:rsidR="00E23703">
        <w:rPr>
          <w:rFonts w:ascii="Times New Roman" w:eastAsia="Calibri" w:hAnsi="Times New Roman" w:cs="Times New Roman"/>
          <w:sz w:val="24"/>
          <w:szCs w:val="24"/>
          <w:lang w:eastAsia="en-US"/>
        </w:rPr>
        <w:t>nement du lexique de spécialité.</w:t>
      </w:r>
      <w:r w:rsidR="00DB0107">
        <w:rPr>
          <w:rFonts w:ascii="Times New Roman" w:eastAsia="Calibri" w:hAnsi="Times New Roman" w:cs="Times New Roman"/>
          <w:sz w:val="24"/>
          <w:szCs w:val="24"/>
          <w:lang w:eastAsia="en-US"/>
        </w:rPr>
        <w:t xml:space="preserve"> À travers le dépouillement des données, nous avons pu noter l’évolution progressive de la compétence lexicale spécialise et une nette </w:t>
      </w:r>
      <w:r w:rsidR="00DB0107">
        <w:rPr>
          <w:rFonts w:ascii="Times New Roman" w:eastAsia="Calibri" w:hAnsi="Times New Roman" w:cs="Times New Roman"/>
          <w:sz w:val="24"/>
          <w:szCs w:val="24"/>
          <w:lang w:eastAsia="en-US"/>
        </w:rPr>
        <w:lastRenderedPageBreak/>
        <w:t xml:space="preserve">différence du positionnement des étudiants quant au vocabulaire médical tant au niveau des représentations qu’au niveau des stratégies d’apprentissage. Par conséquent, nous avons pu déceler des pistes de recherche futurs telles que : travailler sur les représentations qu’ont les étudiants du savoir et développer chez les enseignants de langue une compétence méthodologique de la didactique des langues de spécialité. </w:t>
      </w:r>
    </w:p>
    <w:p w:rsidR="00162344" w:rsidRPr="00DB0107" w:rsidRDefault="00DB0107" w:rsidP="00162344">
      <w:pPr>
        <w:spacing w:line="240" w:lineRule="auto"/>
        <w:rPr>
          <w:rFonts w:ascii="Times New Roman" w:eastAsia="Calibri" w:hAnsi="Times New Roman" w:cs="Times New Roman"/>
          <w:b/>
          <w:sz w:val="24"/>
          <w:szCs w:val="24"/>
          <w:lang w:eastAsia="en-US"/>
        </w:rPr>
      </w:pPr>
      <w:r w:rsidRPr="00DB0107">
        <w:rPr>
          <w:rFonts w:ascii="Times New Roman" w:eastAsia="Calibri" w:hAnsi="Times New Roman" w:cs="Times New Roman"/>
          <w:b/>
          <w:sz w:val="24"/>
          <w:szCs w:val="24"/>
          <w:lang w:eastAsia="en-US"/>
        </w:rPr>
        <w:t>Bibliographie </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Binon, J., &amp; Verlinde, S. (2004). L'enseignement/apprentissage du vocabulaire et la lexicographie pédagogique du français sur objectifs spécifiques (FOS) : le domaine du français des affaires. (Klincksieck, Éd.) </w:t>
      </w:r>
      <w:r w:rsidRPr="00A15803">
        <w:rPr>
          <w:rFonts w:ascii="Times New Roman" w:hAnsi="Times New Roman" w:cs="Times New Roman"/>
          <w:i/>
          <w:iCs/>
          <w:noProof/>
          <w:sz w:val="20"/>
          <w:szCs w:val="20"/>
        </w:rPr>
        <w:t>ELA. Etudes de Linguistique Appliquée</w:t>
      </w:r>
      <w:r w:rsidRPr="00A15803">
        <w:rPr>
          <w:rFonts w:ascii="Times New Roman" w:hAnsi="Times New Roman" w:cs="Times New Roman"/>
          <w:noProof/>
          <w:sz w:val="20"/>
          <w:szCs w:val="20"/>
        </w:rPr>
        <w:t xml:space="preserve"> (135), pp. 271-283.</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Castelloti, V. (2002). Représentations sociales des langues et enseignements. </w:t>
      </w:r>
      <w:r w:rsidRPr="00A15803">
        <w:rPr>
          <w:rFonts w:ascii="Times New Roman" w:hAnsi="Times New Roman" w:cs="Times New Roman"/>
          <w:i/>
          <w:iCs/>
          <w:noProof/>
          <w:sz w:val="20"/>
          <w:szCs w:val="20"/>
        </w:rPr>
        <w:t>Conseil de l'Europe</w:t>
      </w:r>
      <w:r w:rsidRPr="00A15803">
        <w:rPr>
          <w:rFonts w:ascii="Times New Roman" w:hAnsi="Times New Roman" w:cs="Times New Roman"/>
          <w:noProof/>
          <w:sz w:val="20"/>
          <w:szCs w:val="20"/>
        </w:rPr>
        <w:t xml:space="preserve"> .</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Cavalla, C., &amp; Crozier, E. (2005). Expérience d'enseignement de l'expression des émotions-sentiments en classe multiculturelle de FLE. Dans O. Bertran, </w:t>
      </w:r>
      <w:r w:rsidRPr="00A15803">
        <w:rPr>
          <w:rFonts w:ascii="Times New Roman" w:hAnsi="Times New Roman" w:cs="Times New Roman"/>
          <w:i/>
          <w:iCs/>
          <w:noProof/>
          <w:sz w:val="20"/>
          <w:szCs w:val="20"/>
        </w:rPr>
        <w:t>Diversités culturelles et apprentissage du français.</w:t>
      </w:r>
      <w:r w:rsidRPr="00A15803">
        <w:rPr>
          <w:rFonts w:ascii="Times New Roman" w:hAnsi="Times New Roman" w:cs="Times New Roman"/>
          <w:noProof/>
          <w:sz w:val="20"/>
          <w:szCs w:val="20"/>
        </w:rPr>
        <w:t xml:space="preserve"> Illustrée.</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Cuq, J.-P. (2004). Le lexique en situation d'apprentissage guidé : pour une méthodologie d'enseignement interventionniste dans l'enseignement du français langue étrangère. Dans E. Calaque, </w:t>
      </w:r>
      <w:r w:rsidRPr="00A15803">
        <w:rPr>
          <w:rFonts w:ascii="Times New Roman" w:hAnsi="Times New Roman" w:cs="Times New Roman"/>
          <w:i/>
          <w:iCs/>
          <w:noProof/>
          <w:sz w:val="20"/>
          <w:szCs w:val="20"/>
        </w:rPr>
        <w:t>Didactique du lexique : contextes, démarches, supports.</w:t>
      </w:r>
      <w:r w:rsidRPr="00A15803">
        <w:rPr>
          <w:rFonts w:ascii="Times New Roman" w:hAnsi="Times New Roman" w:cs="Times New Roman"/>
          <w:noProof/>
          <w:sz w:val="20"/>
          <w:szCs w:val="20"/>
        </w:rPr>
        <w:t xml:space="preserve"> Bruxelles: Boeck Supérieur.</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Cuq, J.-P., &amp; Gruca, I. (2002). </w:t>
      </w:r>
      <w:r w:rsidRPr="00A15803">
        <w:rPr>
          <w:rFonts w:ascii="Times New Roman" w:hAnsi="Times New Roman" w:cs="Times New Roman"/>
          <w:i/>
          <w:iCs/>
          <w:noProof/>
          <w:sz w:val="20"/>
          <w:szCs w:val="20"/>
        </w:rPr>
        <w:t>Cours de didactique du français langue étrangère et seconde.</w:t>
      </w:r>
      <w:r w:rsidRPr="00A15803">
        <w:rPr>
          <w:rFonts w:ascii="Times New Roman" w:hAnsi="Times New Roman" w:cs="Times New Roman"/>
          <w:noProof/>
          <w:sz w:val="20"/>
          <w:szCs w:val="20"/>
        </w:rPr>
        <w:t xml:space="preserve"> Grenoble: Presses universitaires de Grenoble.</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Cyr, P. (1998). </w:t>
      </w:r>
      <w:r w:rsidRPr="00A15803">
        <w:rPr>
          <w:rFonts w:ascii="Times New Roman" w:hAnsi="Times New Roman" w:cs="Times New Roman"/>
          <w:i/>
          <w:iCs/>
          <w:noProof/>
          <w:sz w:val="20"/>
          <w:szCs w:val="20"/>
        </w:rPr>
        <w:t>Les stratégies d'apprentissage.</w:t>
      </w:r>
      <w:r w:rsidRPr="00A15803">
        <w:rPr>
          <w:rFonts w:ascii="Times New Roman" w:hAnsi="Times New Roman" w:cs="Times New Roman"/>
          <w:noProof/>
          <w:sz w:val="20"/>
          <w:szCs w:val="20"/>
        </w:rPr>
        <w:t xml:space="preserve"> Paris: CLE International.</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Dreyfus, M. (2004). Pratiques et représentations de l'enseignement du lexique à l'école primaire. </w:t>
      </w:r>
      <w:r w:rsidRPr="00A15803">
        <w:rPr>
          <w:rFonts w:ascii="Times New Roman" w:hAnsi="Times New Roman" w:cs="Times New Roman"/>
          <w:i/>
          <w:iCs/>
          <w:noProof/>
          <w:sz w:val="20"/>
          <w:szCs w:val="20"/>
        </w:rPr>
        <w:t>Acte du 9° colloque de l'AIRDF.</w:t>
      </w:r>
      <w:r w:rsidRPr="00A15803">
        <w:rPr>
          <w:rFonts w:ascii="Times New Roman" w:hAnsi="Times New Roman" w:cs="Times New Roman"/>
          <w:noProof/>
          <w:sz w:val="20"/>
          <w:szCs w:val="20"/>
        </w:rPr>
        <w:t xml:space="preserve"> Québec.</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Lavoie, C. (2015). Trois stratégies efficaces pour enseigner le vocabulaire : une expérience en contexte scolaire innu. </w:t>
      </w:r>
      <w:r w:rsidRPr="00A15803">
        <w:rPr>
          <w:rFonts w:ascii="Times New Roman" w:hAnsi="Times New Roman" w:cs="Times New Roman"/>
          <w:i/>
          <w:iCs/>
          <w:noProof/>
          <w:sz w:val="20"/>
          <w:szCs w:val="20"/>
        </w:rPr>
        <w:t xml:space="preserve">Revue canadienne de linguistique appliquée </w:t>
      </w:r>
      <w:r w:rsidRPr="00A15803">
        <w:rPr>
          <w:rFonts w:ascii="Times New Roman" w:hAnsi="Times New Roman" w:cs="Times New Roman"/>
          <w:noProof/>
          <w:sz w:val="20"/>
          <w:szCs w:val="20"/>
        </w:rPr>
        <w:t>, pp. 1-20.</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Lehman, D. (1993). </w:t>
      </w:r>
      <w:r w:rsidRPr="00A15803">
        <w:rPr>
          <w:rFonts w:ascii="Times New Roman" w:hAnsi="Times New Roman" w:cs="Times New Roman"/>
          <w:i/>
          <w:iCs/>
          <w:noProof/>
          <w:sz w:val="20"/>
          <w:szCs w:val="20"/>
        </w:rPr>
        <w:t>Objectifs spécifiques en lngue étrangère.</w:t>
      </w:r>
      <w:r w:rsidRPr="00A15803">
        <w:rPr>
          <w:rFonts w:ascii="Times New Roman" w:hAnsi="Times New Roman" w:cs="Times New Roman"/>
          <w:noProof/>
          <w:sz w:val="20"/>
          <w:szCs w:val="20"/>
        </w:rPr>
        <w:t xml:space="preserve"> Paris: Hachette .</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Lerat, P. (1995). </w:t>
      </w:r>
      <w:r w:rsidRPr="00A15803">
        <w:rPr>
          <w:rFonts w:ascii="Times New Roman" w:hAnsi="Times New Roman" w:cs="Times New Roman"/>
          <w:i/>
          <w:iCs/>
          <w:noProof/>
          <w:sz w:val="20"/>
          <w:szCs w:val="20"/>
        </w:rPr>
        <w:t>Les langues spécialisées.</w:t>
      </w:r>
      <w:r w:rsidRPr="00A15803">
        <w:rPr>
          <w:rFonts w:ascii="Times New Roman" w:hAnsi="Times New Roman" w:cs="Times New Roman"/>
          <w:noProof/>
          <w:sz w:val="20"/>
          <w:szCs w:val="20"/>
        </w:rPr>
        <w:t xml:space="preserve"> Paris: PUF Presses Universitaires de France.</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Mangiante, J.-M., &amp; Parpette, C. (2004). </w:t>
      </w:r>
      <w:r w:rsidRPr="00A15803">
        <w:rPr>
          <w:rFonts w:ascii="Times New Roman" w:hAnsi="Times New Roman" w:cs="Times New Roman"/>
          <w:i/>
          <w:iCs/>
          <w:noProof/>
          <w:sz w:val="20"/>
          <w:szCs w:val="20"/>
        </w:rPr>
        <w:t>Le français sur Objectifs Spécifiques : de l'analyse des besoins à l'élaboration d'un cours.</w:t>
      </w:r>
      <w:r w:rsidRPr="00A15803">
        <w:rPr>
          <w:rFonts w:ascii="Times New Roman" w:hAnsi="Times New Roman" w:cs="Times New Roman"/>
          <w:noProof/>
          <w:sz w:val="20"/>
          <w:szCs w:val="20"/>
        </w:rPr>
        <w:t xml:space="preserve"> Paris: Hachette.</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Mourlhon-Dallies, F. (2003). Former à enseigner le français de spécialité : l'exemple du français médiacl. </w:t>
      </w:r>
      <w:r w:rsidRPr="00A15803">
        <w:rPr>
          <w:rFonts w:ascii="Times New Roman" w:hAnsi="Times New Roman" w:cs="Times New Roman"/>
          <w:i/>
          <w:iCs/>
          <w:noProof/>
          <w:sz w:val="20"/>
          <w:szCs w:val="20"/>
        </w:rPr>
        <w:t>Les Cahiers de l'Asdifle</w:t>
      </w:r>
      <w:r w:rsidRPr="00A15803">
        <w:rPr>
          <w:rFonts w:ascii="Times New Roman" w:hAnsi="Times New Roman" w:cs="Times New Roman"/>
          <w:noProof/>
          <w:sz w:val="20"/>
          <w:szCs w:val="20"/>
        </w:rPr>
        <w:t xml:space="preserve"> (14), pp. 175-192.</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Richterich, R. (1985). </w:t>
      </w:r>
      <w:r w:rsidRPr="00A15803">
        <w:rPr>
          <w:rFonts w:ascii="Times New Roman" w:hAnsi="Times New Roman" w:cs="Times New Roman"/>
          <w:i/>
          <w:iCs/>
          <w:noProof/>
          <w:sz w:val="20"/>
          <w:szCs w:val="20"/>
        </w:rPr>
        <w:t>Besoins langagiers et objectifs d'apprentissage.</w:t>
      </w:r>
      <w:r w:rsidRPr="00A15803">
        <w:rPr>
          <w:rFonts w:ascii="Times New Roman" w:hAnsi="Times New Roman" w:cs="Times New Roman"/>
          <w:noProof/>
          <w:sz w:val="20"/>
          <w:szCs w:val="20"/>
        </w:rPr>
        <w:t xml:space="preserve"> Paris: Hachette.</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Tardif, J. (1992). </w:t>
      </w:r>
      <w:r w:rsidRPr="00A15803">
        <w:rPr>
          <w:rFonts w:ascii="Times New Roman" w:hAnsi="Times New Roman" w:cs="Times New Roman"/>
          <w:i/>
          <w:iCs/>
          <w:noProof/>
          <w:sz w:val="20"/>
          <w:szCs w:val="20"/>
        </w:rPr>
        <w:t>Pour un enseignement stratégique : l'apport de la psychologie cognitive .</w:t>
      </w:r>
      <w:r w:rsidRPr="00A15803">
        <w:rPr>
          <w:rFonts w:ascii="Times New Roman" w:hAnsi="Times New Roman" w:cs="Times New Roman"/>
          <w:noProof/>
          <w:sz w:val="20"/>
          <w:szCs w:val="20"/>
        </w:rPr>
        <w:t xml:space="preserve"> Montréal: Les Editions Logiques.</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Thi Hoai, N. (2008). </w:t>
      </w:r>
      <w:r w:rsidRPr="00A15803">
        <w:rPr>
          <w:rFonts w:ascii="Times New Roman" w:hAnsi="Times New Roman" w:cs="Times New Roman"/>
          <w:i/>
          <w:iCs/>
          <w:noProof/>
          <w:sz w:val="20"/>
          <w:szCs w:val="20"/>
        </w:rPr>
        <w:t>L'enseignement du vocabulaire médical aux étudiants de l'académie de médecine militaire.</w:t>
      </w:r>
      <w:r w:rsidRPr="00A15803">
        <w:rPr>
          <w:rFonts w:ascii="Times New Roman" w:hAnsi="Times New Roman" w:cs="Times New Roman"/>
          <w:noProof/>
          <w:sz w:val="20"/>
          <w:szCs w:val="20"/>
        </w:rPr>
        <w:t xml:space="preserve"> Vietnam: Uiversité de Hanoi.</w:t>
      </w:r>
    </w:p>
    <w:p w:rsidR="00A15803" w:rsidRPr="00A15803" w:rsidRDefault="00A15803" w:rsidP="00A15803">
      <w:pPr>
        <w:pStyle w:val="Bibliographie"/>
        <w:spacing w:before="240" w:after="0"/>
        <w:rPr>
          <w:rFonts w:ascii="Times New Roman" w:hAnsi="Times New Roman" w:cs="Times New Roman"/>
          <w:noProof/>
          <w:sz w:val="20"/>
          <w:szCs w:val="20"/>
        </w:rPr>
      </w:pPr>
      <w:r w:rsidRPr="00A15803">
        <w:rPr>
          <w:rFonts w:ascii="Times New Roman" w:hAnsi="Times New Roman" w:cs="Times New Roman"/>
          <w:noProof/>
          <w:sz w:val="20"/>
          <w:szCs w:val="20"/>
        </w:rPr>
        <w:t xml:space="preserve">Thieulle, J., &amp; Van Eibergen, J. (2002). </w:t>
      </w:r>
      <w:r w:rsidRPr="00A15803">
        <w:rPr>
          <w:rFonts w:ascii="Times New Roman" w:hAnsi="Times New Roman" w:cs="Times New Roman"/>
          <w:i/>
          <w:iCs/>
          <w:noProof/>
          <w:sz w:val="20"/>
          <w:szCs w:val="20"/>
        </w:rPr>
        <w:t>Pratiques du mot médical : cahier d'exercices.</w:t>
      </w:r>
      <w:r w:rsidRPr="00A15803">
        <w:rPr>
          <w:rFonts w:ascii="Times New Roman" w:hAnsi="Times New Roman" w:cs="Times New Roman"/>
          <w:noProof/>
          <w:sz w:val="20"/>
          <w:szCs w:val="20"/>
        </w:rPr>
        <w:t xml:space="preserve"> Lamarre.</w:t>
      </w:r>
    </w:p>
    <w:p w:rsidR="00DB0107" w:rsidRPr="00A15803" w:rsidRDefault="00A15803" w:rsidP="00A15803">
      <w:pPr>
        <w:spacing w:before="240" w:after="0" w:line="240" w:lineRule="auto"/>
        <w:rPr>
          <w:rFonts w:ascii="Times New Roman" w:eastAsia="Calibri" w:hAnsi="Times New Roman" w:cs="Times New Roman"/>
          <w:sz w:val="20"/>
          <w:szCs w:val="20"/>
          <w:lang w:eastAsia="en-US"/>
        </w:rPr>
      </w:pPr>
      <w:r w:rsidRPr="00A15803">
        <w:rPr>
          <w:rFonts w:ascii="Times New Roman" w:hAnsi="Times New Roman" w:cs="Times New Roman"/>
          <w:noProof/>
          <w:sz w:val="20"/>
          <w:szCs w:val="20"/>
        </w:rPr>
        <w:t xml:space="preserve">Valiquette, M. (2008). </w:t>
      </w:r>
      <w:r w:rsidRPr="00A15803">
        <w:rPr>
          <w:rFonts w:ascii="Times New Roman" w:hAnsi="Times New Roman" w:cs="Times New Roman"/>
          <w:i/>
          <w:iCs/>
          <w:noProof/>
          <w:sz w:val="20"/>
          <w:szCs w:val="20"/>
        </w:rPr>
        <w:t>Les effets de l'enseignement stratégique sur la performance en orthographe grammaticale lors d'activités de production écrite .</w:t>
      </w:r>
      <w:r w:rsidRPr="00A15803">
        <w:rPr>
          <w:rFonts w:ascii="Times New Roman" w:hAnsi="Times New Roman" w:cs="Times New Roman"/>
          <w:noProof/>
          <w:sz w:val="20"/>
          <w:szCs w:val="20"/>
        </w:rPr>
        <w:t xml:space="preserve"> Montréal: Université du Québec.</w:t>
      </w:r>
    </w:p>
    <w:sectPr w:rsidR="00DB0107" w:rsidRPr="00A15803" w:rsidSect="00A15C5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90C1B"/>
    <w:rsid w:val="00010B07"/>
    <w:rsid w:val="00030AD8"/>
    <w:rsid w:val="000A2B76"/>
    <w:rsid w:val="000E0407"/>
    <w:rsid w:val="00112AEA"/>
    <w:rsid w:val="00115138"/>
    <w:rsid w:val="00162344"/>
    <w:rsid w:val="00180CED"/>
    <w:rsid w:val="001A3DF0"/>
    <w:rsid w:val="002508C6"/>
    <w:rsid w:val="003567B2"/>
    <w:rsid w:val="0036573E"/>
    <w:rsid w:val="00367E10"/>
    <w:rsid w:val="00381CC6"/>
    <w:rsid w:val="003F7B28"/>
    <w:rsid w:val="00415680"/>
    <w:rsid w:val="0042270A"/>
    <w:rsid w:val="00454E61"/>
    <w:rsid w:val="00481E3C"/>
    <w:rsid w:val="004965F6"/>
    <w:rsid w:val="004B3A23"/>
    <w:rsid w:val="005619AA"/>
    <w:rsid w:val="00595B02"/>
    <w:rsid w:val="005A71BF"/>
    <w:rsid w:val="00616933"/>
    <w:rsid w:val="00640CCF"/>
    <w:rsid w:val="00667ED5"/>
    <w:rsid w:val="0067759F"/>
    <w:rsid w:val="0068142C"/>
    <w:rsid w:val="00712E89"/>
    <w:rsid w:val="007B3C34"/>
    <w:rsid w:val="008308FE"/>
    <w:rsid w:val="008A549C"/>
    <w:rsid w:val="008E3470"/>
    <w:rsid w:val="008E55CA"/>
    <w:rsid w:val="00980585"/>
    <w:rsid w:val="009E7853"/>
    <w:rsid w:val="00A15803"/>
    <w:rsid w:val="00A15C53"/>
    <w:rsid w:val="00A94AB5"/>
    <w:rsid w:val="00AA3EC8"/>
    <w:rsid w:val="00AA45D5"/>
    <w:rsid w:val="00AC04E1"/>
    <w:rsid w:val="00AE2406"/>
    <w:rsid w:val="00B164B5"/>
    <w:rsid w:val="00BA2D7B"/>
    <w:rsid w:val="00C435A2"/>
    <w:rsid w:val="00C836CD"/>
    <w:rsid w:val="00C902D4"/>
    <w:rsid w:val="00C90C1B"/>
    <w:rsid w:val="00D05E91"/>
    <w:rsid w:val="00D22126"/>
    <w:rsid w:val="00D231B6"/>
    <w:rsid w:val="00D27F71"/>
    <w:rsid w:val="00DB0107"/>
    <w:rsid w:val="00DF05E8"/>
    <w:rsid w:val="00E002FF"/>
    <w:rsid w:val="00E23703"/>
    <w:rsid w:val="00E72979"/>
    <w:rsid w:val="00EF584C"/>
    <w:rsid w:val="00F625E2"/>
    <w:rsid w:val="00FC5A75"/>
    <w:rsid w:val="00FD2CFD"/>
    <w:rsid w:val="00FE7B62"/>
    <w:rsid w:val="00FF5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C3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90C1B"/>
    <w:pPr>
      <w:spacing w:after="0" w:line="240" w:lineRule="auto"/>
    </w:pPr>
  </w:style>
  <w:style w:type="character" w:styleId="lev">
    <w:name w:val="Strong"/>
    <w:basedOn w:val="Policepardfaut"/>
    <w:uiPriority w:val="22"/>
    <w:qFormat/>
    <w:rsid w:val="00EF584C"/>
    <w:rPr>
      <w:b/>
      <w:bCs/>
    </w:rPr>
  </w:style>
  <w:style w:type="paragraph" w:styleId="Bibliographie">
    <w:name w:val="Bibliography"/>
    <w:basedOn w:val="Normal"/>
    <w:next w:val="Normal"/>
    <w:uiPriority w:val="37"/>
    <w:unhideWhenUsed/>
    <w:rsid w:val="00A15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8487">
      <w:bodyDiv w:val="1"/>
      <w:marLeft w:val="0"/>
      <w:marRight w:val="0"/>
      <w:marTop w:val="0"/>
      <w:marBottom w:val="0"/>
      <w:divBdr>
        <w:top w:val="none" w:sz="0" w:space="0" w:color="auto"/>
        <w:left w:val="none" w:sz="0" w:space="0" w:color="auto"/>
        <w:bottom w:val="none" w:sz="0" w:space="0" w:color="auto"/>
        <w:right w:val="none" w:sz="0" w:space="0" w:color="auto"/>
      </w:divBdr>
    </w:div>
    <w:div w:id="314530365">
      <w:bodyDiv w:val="1"/>
      <w:marLeft w:val="0"/>
      <w:marRight w:val="0"/>
      <w:marTop w:val="0"/>
      <w:marBottom w:val="0"/>
      <w:divBdr>
        <w:top w:val="none" w:sz="0" w:space="0" w:color="auto"/>
        <w:left w:val="none" w:sz="0" w:space="0" w:color="auto"/>
        <w:bottom w:val="none" w:sz="0" w:space="0" w:color="auto"/>
        <w:right w:val="none" w:sz="0" w:space="0" w:color="auto"/>
      </w:divBdr>
    </w:div>
    <w:div w:id="531845148">
      <w:bodyDiv w:val="1"/>
      <w:marLeft w:val="0"/>
      <w:marRight w:val="0"/>
      <w:marTop w:val="0"/>
      <w:marBottom w:val="0"/>
      <w:divBdr>
        <w:top w:val="none" w:sz="0" w:space="0" w:color="auto"/>
        <w:left w:val="none" w:sz="0" w:space="0" w:color="auto"/>
        <w:bottom w:val="none" w:sz="0" w:space="0" w:color="auto"/>
        <w:right w:val="none" w:sz="0" w:space="0" w:color="auto"/>
      </w:divBdr>
    </w:div>
    <w:div w:id="534856016">
      <w:bodyDiv w:val="1"/>
      <w:marLeft w:val="0"/>
      <w:marRight w:val="0"/>
      <w:marTop w:val="0"/>
      <w:marBottom w:val="0"/>
      <w:divBdr>
        <w:top w:val="none" w:sz="0" w:space="0" w:color="auto"/>
        <w:left w:val="none" w:sz="0" w:space="0" w:color="auto"/>
        <w:bottom w:val="none" w:sz="0" w:space="0" w:color="auto"/>
        <w:right w:val="none" w:sz="0" w:space="0" w:color="auto"/>
      </w:divBdr>
    </w:div>
    <w:div w:id="8727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3</Pages>
  <Words>1312</Words>
  <Characters>7222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nadjet</dc:creator>
  <cp:keywords/>
  <dc:description/>
  <cp:lastModifiedBy>nadjet</cp:lastModifiedBy>
  <cp:revision>4</cp:revision>
  <cp:lastPrinted>2015-07-30T17:49:00Z</cp:lastPrinted>
  <dcterms:created xsi:type="dcterms:W3CDTF">2012-11-28T05:46:00Z</dcterms:created>
  <dcterms:modified xsi:type="dcterms:W3CDTF">2015-09-20T21:22:00Z</dcterms:modified>
</cp:coreProperties>
</file>