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F6" w:rsidRDefault="007E14F6" w:rsidP="007E14F6">
      <w:pPr>
        <w:jc w:val="both"/>
        <w:rPr>
          <w:rFonts w:eastAsia="Times New Roman"/>
          <w:lang w:eastAsia="fr-FR"/>
        </w:rPr>
      </w:pPr>
      <w:bookmarkStart w:id="0" w:name="_GoBack"/>
      <w:bookmarkEnd w:id="0"/>
      <w:r>
        <w:rPr>
          <w:rFonts w:eastAsia="Times New Roman"/>
          <w:lang w:eastAsia="fr-FR"/>
        </w:rPr>
        <w:t xml:space="preserve">Yves Soulé, </w:t>
      </w:r>
    </w:p>
    <w:p w:rsidR="007E14F6" w:rsidRDefault="007E14F6" w:rsidP="007E14F6">
      <w:pPr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MCF Sciences du langage</w:t>
      </w:r>
    </w:p>
    <w:p w:rsidR="007E14F6" w:rsidRDefault="007E14F6" w:rsidP="007E14F6">
      <w:pPr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Université de Montpellier</w:t>
      </w:r>
    </w:p>
    <w:p w:rsidR="007E14F6" w:rsidRDefault="007E14F6" w:rsidP="007E14F6">
      <w:pPr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Laboratoire LIRDEF-ALFA</w:t>
      </w:r>
    </w:p>
    <w:p w:rsidR="007E14F6" w:rsidRDefault="007E14F6" w:rsidP="009C6D88">
      <w:pPr>
        <w:spacing w:before="100" w:beforeAutospacing="1" w:after="100" w:afterAutospacing="1"/>
        <w:jc w:val="both"/>
        <w:rPr>
          <w:rFonts w:eastAsia="Times New Roman"/>
          <w:lang w:eastAsia="fr-FR"/>
        </w:rPr>
      </w:pPr>
    </w:p>
    <w:p w:rsidR="00C368E6" w:rsidRPr="00CC44EE" w:rsidRDefault="00C368E6" w:rsidP="009C6D88">
      <w:pPr>
        <w:spacing w:before="100" w:beforeAutospacing="1" w:after="100" w:afterAutospacing="1"/>
        <w:jc w:val="both"/>
        <w:rPr>
          <w:rFonts w:eastAsia="Times New Roman"/>
          <w:lang w:eastAsia="fr-FR"/>
        </w:rPr>
      </w:pPr>
      <w:r w:rsidRPr="00CC44EE">
        <w:rPr>
          <w:rFonts w:eastAsia="Times New Roman"/>
          <w:lang w:eastAsia="fr-FR"/>
        </w:rPr>
        <w:t xml:space="preserve">Texte </w:t>
      </w:r>
      <w:r w:rsidR="00D26F20">
        <w:rPr>
          <w:rFonts w:eastAsia="Times New Roman"/>
          <w:lang w:eastAsia="fr-FR"/>
        </w:rPr>
        <w:t>179</w:t>
      </w:r>
    </w:p>
    <w:p w:rsidR="00C368E6" w:rsidRPr="00CC44EE" w:rsidRDefault="008A3D02" w:rsidP="004A51DE">
      <w:pPr>
        <w:jc w:val="both"/>
        <w:rPr>
          <w:rFonts w:eastAsia="Times New Roman"/>
          <w:lang w:eastAsia="fr-FR"/>
        </w:rPr>
      </w:pPr>
      <w:r>
        <w:t>Dès lors que les premiers résultats</w:t>
      </w:r>
      <w:r w:rsidR="00D26F20">
        <w:t xml:space="preserve"> de la recherche LireEcrire-CP</w:t>
      </w:r>
      <w:r w:rsidR="00F3038E">
        <w:t xml:space="preserve"> </w:t>
      </w:r>
      <w:r>
        <w:t xml:space="preserve">ne permettent pas </w:t>
      </w:r>
      <w:r w:rsidR="00F3038E">
        <w:t>encore d’évaluer</w:t>
      </w:r>
      <w:r>
        <w:t xml:space="preserve"> l’efficacité des pratiques </w:t>
      </w:r>
      <w:r w:rsidR="00F3038E">
        <w:t>enseignantes</w:t>
      </w:r>
      <w:r>
        <w:t xml:space="preserve"> </w:t>
      </w:r>
      <w:r w:rsidR="00C47815">
        <w:t>mais</w:t>
      </w:r>
      <w:r w:rsidR="00F3038E">
        <w:t xml:space="preserve"> témoignent surtout d</w:t>
      </w:r>
      <w:r w:rsidR="00C47815">
        <w:t>e leur grande diversité</w:t>
      </w:r>
      <w:r>
        <w:t xml:space="preserve">, il </w:t>
      </w:r>
      <w:r w:rsidR="00F3038E">
        <w:t>semble</w:t>
      </w:r>
      <w:r>
        <w:t xml:space="preserve"> </w:t>
      </w:r>
      <w:r w:rsidR="00F3038E">
        <w:t>pertinent</w:t>
      </w:r>
      <w:r w:rsidR="002D5AA1">
        <w:t xml:space="preserve">, pour poursuivre l’analyse, </w:t>
      </w:r>
      <w:r w:rsidR="00F3038E">
        <w:t>d’étudier l’impact</w:t>
      </w:r>
      <w:r>
        <w:t xml:space="preserve"> des conduites de verbalis</w:t>
      </w:r>
      <w:r w:rsidR="00F3038E">
        <w:t xml:space="preserve">ation dans les configurations </w:t>
      </w:r>
      <w:r w:rsidR="00C47815">
        <w:t xml:space="preserve">de tâches proposées aux élèves et </w:t>
      </w:r>
      <w:r w:rsidR="00F3038E">
        <w:t xml:space="preserve">dans la gestion des budgets-temps </w:t>
      </w:r>
      <w:r w:rsidR="00C47815">
        <w:t xml:space="preserve">qui leur sont alloués. </w:t>
      </w:r>
      <w:r w:rsidR="00F3038E">
        <w:t xml:space="preserve"> </w:t>
      </w:r>
      <w:r w:rsidR="00C47815">
        <w:rPr>
          <w:rFonts w:eastAsia="Times New Roman"/>
          <w:lang w:eastAsia="fr-FR"/>
        </w:rPr>
        <w:t xml:space="preserve">Le recours au </w:t>
      </w:r>
      <w:r w:rsidRPr="00CC44EE">
        <w:t xml:space="preserve">modèle </w:t>
      </w:r>
      <w:r w:rsidR="00C47815">
        <w:t xml:space="preserve">de l’agir enseignant, développé par le laboratoire LIRDEF de Montpellier, et l’importance </w:t>
      </w:r>
      <w:r w:rsidR="002D5AA1">
        <w:t>qu’il accorde</w:t>
      </w:r>
      <w:r w:rsidR="00C47815">
        <w:t xml:space="preserve"> au langage comme</w:t>
      </w:r>
      <w:r w:rsidR="00F1747C">
        <w:t xml:space="preserve"> organisateur du cours d’action nous conduisent</w:t>
      </w:r>
      <w:r w:rsidR="002D5AA1">
        <w:t xml:space="preserve"> à </w:t>
      </w:r>
      <w:r w:rsidR="00C47815">
        <w:t xml:space="preserve">approfondir les choix didactiques des enseignants et </w:t>
      </w:r>
      <w:r w:rsidR="002D5AA1">
        <w:t>à envisager sous cet angle</w:t>
      </w:r>
      <w:r w:rsidR="00C47815">
        <w:t xml:space="preserve"> un possible effet-maître. A ce titre, le rôle et la fréquence </w:t>
      </w:r>
      <w:r w:rsidR="002D5AA1">
        <w:t xml:space="preserve">des reformulations </w:t>
      </w:r>
      <w:r w:rsidR="00C47815">
        <w:t xml:space="preserve">comme échanges « intermédiaires » et </w:t>
      </w:r>
      <w:r w:rsidR="00D26F20">
        <w:t xml:space="preserve">comme </w:t>
      </w:r>
      <w:r w:rsidR="00C47815">
        <w:t>marqueurs de « dénivellations » (Nonnon, 1996) dans la construction</w:t>
      </w:r>
      <w:r w:rsidR="00F1747C">
        <w:t xml:space="preserve"> d’une stratégie ou</w:t>
      </w:r>
      <w:r w:rsidR="00C47815">
        <w:t xml:space="preserve"> d’un savoir partagé peuvent</w:t>
      </w:r>
      <w:r w:rsidR="00FA7B6E">
        <w:t>-ils</w:t>
      </w:r>
      <w:r w:rsidR="00C47815">
        <w:t xml:space="preserve"> expliquer</w:t>
      </w:r>
      <w:r w:rsidR="0009056D">
        <w:t xml:space="preserve"> les éc</w:t>
      </w:r>
      <w:r w:rsidR="00F1747C">
        <w:t xml:space="preserve">arts de performance enregistrés pour chaque catégorie d’élèves recensés, </w:t>
      </w:r>
      <w:r w:rsidR="00F1747C">
        <w:rPr>
          <w:rFonts w:eastAsia="Times New Roman"/>
          <w:lang w:eastAsia="fr-FR"/>
        </w:rPr>
        <w:t>« forts », « intermédiaires » ou « faibles »</w:t>
      </w:r>
      <w:r w:rsidR="00FA7B6E">
        <w:rPr>
          <w:rFonts w:eastAsia="Times New Roman"/>
          <w:lang w:eastAsia="fr-FR"/>
        </w:rPr>
        <w:t> ? La présente contribution s’intéresse à ce</w:t>
      </w:r>
      <w:r w:rsidR="0095015F">
        <w:rPr>
          <w:rFonts w:eastAsia="Times New Roman"/>
          <w:lang w:eastAsia="fr-FR"/>
        </w:rPr>
        <w:t>s</w:t>
      </w:r>
      <w:r w:rsidR="00FA7B6E">
        <w:rPr>
          <w:rFonts w:eastAsia="Times New Roman"/>
          <w:lang w:eastAsia="fr-FR"/>
        </w:rPr>
        <w:t xml:space="preserve"> geste</w:t>
      </w:r>
      <w:r w:rsidR="0095015F">
        <w:rPr>
          <w:rFonts w:eastAsia="Times New Roman"/>
          <w:lang w:eastAsia="fr-FR"/>
        </w:rPr>
        <w:t>s</w:t>
      </w:r>
      <w:r w:rsidR="00FA7B6E">
        <w:rPr>
          <w:rFonts w:eastAsia="Times New Roman"/>
          <w:lang w:eastAsia="fr-FR"/>
        </w:rPr>
        <w:t xml:space="preserve"> langagier</w:t>
      </w:r>
      <w:r w:rsidR="00D26F20">
        <w:rPr>
          <w:rFonts w:eastAsia="Times New Roman"/>
          <w:lang w:eastAsia="fr-FR"/>
        </w:rPr>
        <w:t>s de reprise</w:t>
      </w:r>
      <w:r w:rsidR="00FA7B6E">
        <w:rPr>
          <w:rFonts w:eastAsia="Times New Roman"/>
          <w:lang w:eastAsia="fr-FR"/>
        </w:rPr>
        <w:t xml:space="preserve"> </w:t>
      </w:r>
      <w:r w:rsidR="00FA7B6E">
        <w:t>dans les tâches de production d’écrit et en particulier dans les ateliers d’</w:t>
      </w:r>
      <w:r w:rsidR="00D26F20">
        <w:t>écriture dirigés.</w:t>
      </w:r>
    </w:p>
    <w:p w:rsidR="00C368E6" w:rsidRPr="00CC44EE" w:rsidRDefault="00F1747C" w:rsidP="009C6D88">
      <w:pPr>
        <w:spacing w:before="100" w:beforeAutospacing="1" w:after="100" w:afterAutospacing="1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Texte 48</w:t>
      </w:r>
      <w:r w:rsidR="0027383E">
        <w:rPr>
          <w:rFonts w:eastAsia="Times New Roman"/>
          <w:lang w:eastAsia="fr-FR"/>
        </w:rPr>
        <w:t>1</w:t>
      </w:r>
    </w:p>
    <w:p w:rsidR="0009056D" w:rsidRDefault="00C368E6" w:rsidP="009C6D88">
      <w:pPr>
        <w:spacing w:before="100" w:beforeAutospacing="1" w:after="100" w:afterAutospacing="1"/>
        <w:jc w:val="both"/>
        <w:rPr>
          <w:rFonts w:eastAsia="Times New Roman"/>
          <w:lang w:eastAsia="fr-FR"/>
        </w:rPr>
      </w:pPr>
      <w:r w:rsidRPr="00CC44EE">
        <w:rPr>
          <w:rFonts w:eastAsia="Times New Roman"/>
          <w:lang w:eastAsia="fr-FR"/>
        </w:rPr>
        <w:t>La présentation des premiers résultats de la recherche LireEcrire-</w:t>
      </w:r>
      <w:r w:rsidR="00CC44EE" w:rsidRPr="00CC44EE">
        <w:rPr>
          <w:rFonts w:eastAsia="Times New Roman"/>
          <w:lang w:eastAsia="fr-FR"/>
        </w:rPr>
        <w:t>CP</w:t>
      </w:r>
      <w:r w:rsidR="00CC44EE" w:rsidRPr="00CC44EE">
        <w:rPr>
          <w:rStyle w:val="Appeldenotedefin"/>
          <w:rFonts w:eastAsia="Times New Roman"/>
          <w:lang w:eastAsia="fr-FR"/>
        </w:rPr>
        <w:endnoteReference w:id="1"/>
      </w:r>
      <w:r w:rsidRPr="00CC44EE">
        <w:rPr>
          <w:rFonts w:eastAsia="Times New Roman"/>
          <w:lang w:eastAsia="fr-FR"/>
        </w:rPr>
        <w:t xml:space="preserve"> montre que la plupart des critères retenus </w:t>
      </w:r>
      <w:r w:rsidR="00CC44EE" w:rsidRPr="00CC44EE">
        <w:rPr>
          <w:rFonts w:eastAsia="Times New Roman"/>
          <w:lang w:eastAsia="fr-FR"/>
        </w:rPr>
        <w:t>pour identif</w:t>
      </w:r>
      <w:r w:rsidR="00CC44EE">
        <w:rPr>
          <w:rFonts w:eastAsia="Times New Roman"/>
          <w:lang w:eastAsia="fr-FR"/>
        </w:rPr>
        <w:t>i</w:t>
      </w:r>
      <w:r w:rsidR="00CC44EE" w:rsidRPr="00CC44EE">
        <w:rPr>
          <w:rFonts w:eastAsia="Times New Roman"/>
          <w:lang w:eastAsia="fr-FR"/>
        </w:rPr>
        <w:t>er les</w:t>
      </w:r>
      <w:r w:rsidR="00CC44EE" w:rsidRPr="00CC44EE">
        <w:rPr>
          <w:rFonts w:eastAsia="Times New Roman"/>
          <w:bCs/>
          <w:lang w:eastAsia="fr-FR"/>
        </w:rPr>
        <w:t xml:space="preserve"> pratiques d’enseignement de la lecture et de l’écriture </w:t>
      </w:r>
      <w:r w:rsidRPr="00CC44EE">
        <w:rPr>
          <w:rFonts w:eastAsia="Times New Roman"/>
          <w:lang w:eastAsia="fr-FR"/>
        </w:rPr>
        <w:t>ne suffisent pas encore à</w:t>
      </w:r>
      <w:r w:rsidR="00CC44EE" w:rsidRPr="00CC44EE">
        <w:rPr>
          <w:rFonts w:eastAsia="Times New Roman"/>
          <w:lang w:eastAsia="fr-FR"/>
        </w:rPr>
        <w:t xml:space="preserve"> rendre compte de leur influence</w:t>
      </w:r>
      <w:r w:rsidRPr="00CC44EE">
        <w:rPr>
          <w:rFonts w:eastAsia="Times New Roman"/>
          <w:lang w:eastAsia="fr-FR"/>
        </w:rPr>
        <w:t xml:space="preserve"> </w:t>
      </w:r>
      <w:r w:rsidR="00CC44EE" w:rsidRPr="00CC44EE">
        <w:rPr>
          <w:rFonts w:eastAsia="Times New Roman"/>
          <w:bCs/>
          <w:lang w:eastAsia="fr-FR"/>
        </w:rPr>
        <w:t>sur la qualité des premiers apprentissages</w:t>
      </w:r>
      <w:r w:rsidRPr="00CC44EE">
        <w:rPr>
          <w:rFonts w:eastAsia="Times New Roman"/>
          <w:lang w:eastAsia="fr-FR"/>
        </w:rPr>
        <w:t xml:space="preserve">. Les performances </w:t>
      </w:r>
      <w:r w:rsidR="009A3677" w:rsidRPr="00CC44EE">
        <w:rPr>
          <w:rFonts w:eastAsia="Times New Roman"/>
          <w:lang w:eastAsia="fr-FR"/>
        </w:rPr>
        <w:t xml:space="preserve">significatives </w:t>
      </w:r>
      <w:r w:rsidRPr="00CC44EE">
        <w:rPr>
          <w:rFonts w:eastAsia="Times New Roman"/>
          <w:lang w:eastAsia="fr-FR"/>
        </w:rPr>
        <w:t xml:space="preserve">des élèves </w:t>
      </w:r>
      <w:r w:rsidR="009E45B2">
        <w:rPr>
          <w:rFonts w:eastAsia="Times New Roman"/>
          <w:lang w:eastAsia="fr-FR"/>
        </w:rPr>
        <w:t>(</w:t>
      </w:r>
      <w:r w:rsidR="00CC44EE">
        <w:rPr>
          <w:rFonts w:eastAsia="Times New Roman"/>
          <w:lang w:eastAsia="fr-FR"/>
        </w:rPr>
        <w:t xml:space="preserve">2500 répartis en 131 classes), </w:t>
      </w:r>
      <w:r w:rsidRPr="00CC44EE">
        <w:rPr>
          <w:rFonts w:eastAsia="Times New Roman"/>
          <w:lang w:eastAsia="fr-FR"/>
        </w:rPr>
        <w:t>analysées à partir des tests d</w:t>
      </w:r>
      <w:r w:rsidR="00593D6E" w:rsidRPr="00CC44EE">
        <w:rPr>
          <w:rFonts w:eastAsia="Times New Roman"/>
          <w:lang w:eastAsia="fr-FR"/>
        </w:rPr>
        <w:t>’éval</w:t>
      </w:r>
      <w:r w:rsidRPr="00CC44EE">
        <w:rPr>
          <w:rFonts w:eastAsia="Times New Roman"/>
          <w:lang w:eastAsia="fr-FR"/>
        </w:rPr>
        <w:t>u</w:t>
      </w:r>
      <w:r w:rsidR="00593D6E" w:rsidRPr="00CC44EE">
        <w:rPr>
          <w:rFonts w:eastAsia="Times New Roman"/>
          <w:lang w:eastAsia="fr-FR"/>
        </w:rPr>
        <w:t>a</w:t>
      </w:r>
      <w:r w:rsidR="009E45B2">
        <w:rPr>
          <w:rFonts w:eastAsia="Times New Roman"/>
          <w:lang w:eastAsia="fr-FR"/>
        </w:rPr>
        <w:t>tion (septembre 2013 et</w:t>
      </w:r>
      <w:r w:rsidRPr="00CC44EE">
        <w:rPr>
          <w:rFonts w:eastAsia="Times New Roman"/>
          <w:lang w:eastAsia="fr-FR"/>
        </w:rPr>
        <w:t xml:space="preserve"> juin 2014) et </w:t>
      </w:r>
      <w:r w:rsidR="00593D6E" w:rsidRPr="00CC44EE">
        <w:rPr>
          <w:rFonts w:eastAsia="Times New Roman"/>
          <w:lang w:eastAsia="fr-FR"/>
        </w:rPr>
        <w:t>de l’observation systématique des séances d’apprentissage au cours de trois semaines pendant l’année</w:t>
      </w:r>
      <w:r w:rsidR="00D26F20">
        <w:rPr>
          <w:rFonts w:eastAsia="Times New Roman"/>
          <w:lang w:eastAsia="fr-FR"/>
        </w:rPr>
        <w:t xml:space="preserve"> de CP (première primaire)</w:t>
      </w:r>
      <w:r w:rsidR="00CC44EE">
        <w:rPr>
          <w:rFonts w:eastAsia="Times New Roman"/>
          <w:lang w:eastAsia="fr-FR"/>
        </w:rPr>
        <w:t>,</w:t>
      </w:r>
      <w:r w:rsidR="0009056D">
        <w:rPr>
          <w:rFonts w:eastAsia="Times New Roman"/>
          <w:lang w:eastAsia="fr-FR"/>
        </w:rPr>
        <w:t xml:space="preserve"> ne dépend</w:t>
      </w:r>
      <w:r w:rsidR="00CC44EE">
        <w:rPr>
          <w:rFonts w:eastAsia="Times New Roman"/>
          <w:lang w:eastAsia="fr-FR"/>
        </w:rPr>
        <w:t>ent pas uniquement</w:t>
      </w:r>
      <w:r w:rsidR="0009056D">
        <w:rPr>
          <w:rFonts w:eastAsia="Times New Roman"/>
          <w:lang w:eastAsia="fr-FR"/>
        </w:rPr>
        <w:t xml:space="preserve"> d</w:t>
      </w:r>
      <w:r w:rsidR="00593D6E" w:rsidRPr="00CC44EE">
        <w:rPr>
          <w:rFonts w:eastAsia="Times New Roman"/>
          <w:lang w:eastAsia="fr-FR"/>
        </w:rPr>
        <w:t>es caractér</w:t>
      </w:r>
      <w:r w:rsidR="009A3677" w:rsidRPr="00CC44EE">
        <w:rPr>
          <w:rFonts w:eastAsia="Times New Roman"/>
          <w:lang w:eastAsia="fr-FR"/>
        </w:rPr>
        <w:t>istiqu</w:t>
      </w:r>
      <w:r w:rsidR="00CC44EE">
        <w:rPr>
          <w:rFonts w:eastAsia="Times New Roman"/>
          <w:lang w:eastAsia="fr-FR"/>
        </w:rPr>
        <w:t>es</w:t>
      </w:r>
      <w:r w:rsidR="009A3677" w:rsidRPr="00CC44EE">
        <w:rPr>
          <w:rFonts w:eastAsia="Times New Roman"/>
          <w:lang w:eastAsia="fr-FR"/>
        </w:rPr>
        <w:t xml:space="preserve"> des maîtres,</w:t>
      </w:r>
      <w:r w:rsidR="00593D6E" w:rsidRPr="00CC44EE">
        <w:rPr>
          <w:rFonts w:eastAsia="Times New Roman"/>
          <w:lang w:eastAsia="fr-FR"/>
        </w:rPr>
        <w:t xml:space="preserve"> des clas</w:t>
      </w:r>
      <w:r w:rsidR="009A3677" w:rsidRPr="00CC44EE">
        <w:rPr>
          <w:rFonts w:eastAsia="Times New Roman"/>
          <w:lang w:eastAsia="fr-FR"/>
        </w:rPr>
        <w:t>ses</w:t>
      </w:r>
      <w:r w:rsidR="00CC44EE">
        <w:rPr>
          <w:rFonts w:eastAsia="Times New Roman"/>
          <w:lang w:eastAsia="fr-FR"/>
        </w:rPr>
        <w:t xml:space="preserve"> ou des parents,</w:t>
      </w:r>
      <w:r w:rsidR="009A3677" w:rsidRPr="00CC44EE">
        <w:rPr>
          <w:rFonts w:eastAsia="Times New Roman"/>
          <w:lang w:eastAsia="fr-FR"/>
        </w:rPr>
        <w:t xml:space="preserve"> </w:t>
      </w:r>
      <w:r w:rsidR="0009056D">
        <w:rPr>
          <w:rFonts w:eastAsia="Times New Roman"/>
          <w:lang w:eastAsia="fr-FR"/>
        </w:rPr>
        <w:t>du</w:t>
      </w:r>
      <w:r w:rsidR="00CC44EE">
        <w:rPr>
          <w:rFonts w:eastAsia="Times New Roman"/>
          <w:lang w:eastAsia="fr-FR"/>
        </w:rPr>
        <w:t xml:space="preserve"> temps alloué aux différentes </w:t>
      </w:r>
      <w:r w:rsidR="0009056D">
        <w:rPr>
          <w:rFonts w:eastAsia="Times New Roman"/>
          <w:lang w:eastAsia="fr-FR"/>
        </w:rPr>
        <w:t>tâches, du</w:t>
      </w:r>
      <w:r w:rsidR="00593D6E" w:rsidRPr="00CC44EE">
        <w:rPr>
          <w:rFonts w:eastAsia="Times New Roman"/>
          <w:lang w:eastAsia="fr-FR"/>
        </w:rPr>
        <w:t xml:space="preserve"> choix d’un manuel </w:t>
      </w:r>
      <w:r w:rsidR="0009056D">
        <w:rPr>
          <w:rFonts w:eastAsia="Times New Roman"/>
          <w:lang w:eastAsia="fr-FR"/>
        </w:rPr>
        <w:t xml:space="preserve">ou d’un dispositif de travail </w:t>
      </w:r>
      <w:r w:rsidR="00593D6E" w:rsidRPr="00CC44EE">
        <w:rPr>
          <w:rFonts w:eastAsia="Times New Roman"/>
          <w:lang w:eastAsia="fr-FR"/>
        </w:rPr>
        <w:t>particulier</w:t>
      </w:r>
      <w:r w:rsidR="0009056D">
        <w:rPr>
          <w:rFonts w:eastAsia="Times New Roman"/>
          <w:lang w:eastAsia="fr-FR"/>
        </w:rPr>
        <w:t>s</w:t>
      </w:r>
      <w:r w:rsidR="00593D6E" w:rsidRPr="00CC44EE">
        <w:rPr>
          <w:rFonts w:eastAsia="Times New Roman"/>
          <w:lang w:eastAsia="fr-FR"/>
        </w:rPr>
        <w:t>. S’opèrent des dosages, des ajustements</w:t>
      </w:r>
      <w:r w:rsidR="008A3D02">
        <w:rPr>
          <w:rFonts w:eastAsia="Times New Roman"/>
          <w:lang w:eastAsia="fr-FR"/>
        </w:rPr>
        <w:t>, des mises en relation</w:t>
      </w:r>
      <w:r w:rsidR="009A3677" w:rsidRPr="00CC44EE">
        <w:rPr>
          <w:rFonts w:eastAsia="Times New Roman"/>
          <w:lang w:eastAsia="fr-FR"/>
        </w:rPr>
        <w:t xml:space="preserve"> qui nécessitent des traitements statistiques plus </w:t>
      </w:r>
      <w:r w:rsidR="009E45B2">
        <w:rPr>
          <w:rFonts w:eastAsia="Times New Roman"/>
          <w:lang w:eastAsia="fr-FR"/>
        </w:rPr>
        <w:t>complexes</w:t>
      </w:r>
      <w:r w:rsidR="009A3677" w:rsidRPr="00CC44EE">
        <w:rPr>
          <w:rFonts w:eastAsia="Times New Roman"/>
          <w:lang w:eastAsia="fr-FR"/>
        </w:rPr>
        <w:t xml:space="preserve"> et l’</w:t>
      </w:r>
      <w:r w:rsidR="009E45B2">
        <w:rPr>
          <w:rFonts w:eastAsia="Times New Roman"/>
          <w:lang w:eastAsia="fr-FR"/>
        </w:rPr>
        <w:t>étude</w:t>
      </w:r>
      <w:r w:rsidR="009A3677" w:rsidRPr="00CC44EE">
        <w:rPr>
          <w:rFonts w:eastAsia="Times New Roman"/>
          <w:lang w:eastAsia="fr-FR"/>
        </w:rPr>
        <w:t xml:space="preserve"> des vidéos de classe</w:t>
      </w:r>
      <w:r w:rsidR="0009056D">
        <w:rPr>
          <w:rFonts w:eastAsia="Times New Roman"/>
          <w:lang w:eastAsia="fr-FR"/>
        </w:rPr>
        <w:t xml:space="preserve"> recueillies.</w:t>
      </w:r>
    </w:p>
    <w:p w:rsidR="009E45B2" w:rsidRPr="00140199" w:rsidRDefault="009E45B2" w:rsidP="00140199">
      <w:pPr>
        <w:spacing w:before="100" w:beforeAutospacing="1" w:after="100" w:afterAutospacing="1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</w:t>
      </w:r>
      <w:r w:rsidR="00593D6E" w:rsidRPr="00CC44EE">
        <w:rPr>
          <w:rFonts w:eastAsia="Times New Roman"/>
          <w:lang w:eastAsia="fr-FR"/>
        </w:rPr>
        <w:t>e constat relance</w:t>
      </w:r>
      <w:r>
        <w:rPr>
          <w:rFonts w:eastAsia="Times New Roman"/>
          <w:lang w:eastAsia="fr-FR"/>
        </w:rPr>
        <w:t xml:space="preserve"> </w:t>
      </w:r>
      <w:r w:rsidR="008A3D02">
        <w:rPr>
          <w:rFonts w:eastAsia="Times New Roman"/>
          <w:lang w:eastAsia="fr-FR"/>
        </w:rPr>
        <w:t>de fait</w:t>
      </w:r>
      <w:r w:rsidR="00593D6E" w:rsidRPr="00CC44EE">
        <w:rPr>
          <w:rFonts w:eastAsia="Times New Roman"/>
          <w:lang w:eastAsia="fr-FR"/>
        </w:rPr>
        <w:t xml:space="preserve"> l’</w:t>
      </w:r>
      <w:r w:rsidR="008A3D02">
        <w:rPr>
          <w:rFonts w:eastAsia="Times New Roman"/>
          <w:lang w:eastAsia="fr-FR"/>
        </w:rPr>
        <w:t>intérêt pour l</w:t>
      </w:r>
      <w:r w:rsidR="00593D6E" w:rsidRPr="00CC44EE">
        <w:rPr>
          <w:rFonts w:eastAsia="Times New Roman"/>
          <w:lang w:eastAsia="fr-FR"/>
        </w:rPr>
        <w:t xml:space="preserve">es travaux </w:t>
      </w:r>
      <w:r w:rsidR="008A3D02">
        <w:rPr>
          <w:rFonts w:eastAsia="Times New Roman"/>
          <w:lang w:eastAsia="fr-FR"/>
        </w:rPr>
        <w:t>et l</w:t>
      </w:r>
      <w:r w:rsidR="00593D6E" w:rsidRPr="00CC44EE">
        <w:rPr>
          <w:rFonts w:eastAsia="Times New Roman"/>
          <w:lang w:eastAsia="fr-FR"/>
        </w:rPr>
        <w:t>es hypothèses qui accordent aux interactions verbales en contexte pédagogique et didactique un rôle décisif</w:t>
      </w:r>
      <w:r w:rsidR="009A3677" w:rsidRPr="00CC44EE">
        <w:rPr>
          <w:rFonts w:eastAsia="Times New Roman"/>
          <w:lang w:eastAsia="fr-FR"/>
        </w:rPr>
        <w:t xml:space="preserve"> dans les processus d’</w:t>
      </w:r>
      <w:r w:rsidR="007A2EA7">
        <w:rPr>
          <w:rFonts w:eastAsia="Times New Roman"/>
          <w:lang w:eastAsia="fr-FR"/>
        </w:rPr>
        <w:t>enseignement/</w:t>
      </w:r>
      <w:r w:rsidR="009A3677" w:rsidRPr="00CC44EE">
        <w:rPr>
          <w:rFonts w:eastAsia="Times New Roman"/>
          <w:lang w:eastAsia="fr-FR"/>
        </w:rPr>
        <w:t>apprentissage.</w:t>
      </w:r>
      <w:r w:rsidR="0009056D">
        <w:rPr>
          <w:rFonts w:eastAsia="Times New Roman"/>
          <w:lang w:eastAsia="fr-FR"/>
        </w:rPr>
        <w:t xml:space="preserve"> </w:t>
      </w:r>
      <w:r w:rsidR="00593D6E" w:rsidRPr="00CC44EE">
        <w:rPr>
          <w:rFonts w:eastAsia="Times New Roman"/>
          <w:lang w:eastAsia="fr-FR"/>
        </w:rPr>
        <w:t>S’appuyant sur le modèle de l’agir professi</w:t>
      </w:r>
      <w:r w:rsidR="008A3D02">
        <w:rPr>
          <w:rFonts w:eastAsia="Times New Roman"/>
          <w:lang w:eastAsia="fr-FR"/>
        </w:rPr>
        <w:t xml:space="preserve">onnel, </w:t>
      </w:r>
      <w:r w:rsidR="00593D6E" w:rsidRPr="00CC44EE">
        <w:rPr>
          <w:rFonts w:eastAsia="Times New Roman"/>
          <w:lang w:eastAsia="fr-FR"/>
        </w:rPr>
        <w:t>développé par le laboratoire LIRDEF de Montpellier, c</w:t>
      </w:r>
      <w:r w:rsidR="00C368E6" w:rsidRPr="00CC44EE">
        <w:rPr>
          <w:rFonts w:eastAsia="Times New Roman"/>
          <w:lang w:eastAsia="fr-FR"/>
        </w:rPr>
        <w:t>ette contribution</w:t>
      </w:r>
      <w:r w:rsidR="00593D6E" w:rsidRPr="00CC44EE">
        <w:rPr>
          <w:rFonts w:eastAsia="Times New Roman"/>
          <w:lang w:eastAsia="fr-FR"/>
        </w:rPr>
        <w:t xml:space="preserve"> </w:t>
      </w:r>
      <w:r w:rsidR="009A3677" w:rsidRPr="00CC44EE">
        <w:rPr>
          <w:rFonts w:eastAsia="Times New Roman"/>
          <w:lang w:eastAsia="fr-FR"/>
        </w:rPr>
        <w:t xml:space="preserve">vise à montrer en quoi les résultats concernant les tâches de production d’écrit, </w:t>
      </w:r>
      <w:r w:rsidR="007A2EA7">
        <w:rPr>
          <w:rFonts w:eastAsia="Times New Roman"/>
          <w:lang w:eastAsia="fr-FR"/>
        </w:rPr>
        <w:t>sur lesquelles travaille une des</w:t>
      </w:r>
      <w:r w:rsidR="009A3677" w:rsidRPr="00CC44EE">
        <w:rPr>
          <w:rFonts w:eastAsia="Times New Roman"/>
          <w:lang w:eastAsia="fr-FR"/>
        </w:rPr>
        <w:t xml:space="preserve"> groupe</w:t>
      </w:r>
      <w:r w:rsidR="007A2EA7">
        <w:rPr>
          <w:rFonts w:eastAsia="Times New Roman"/>
          <w:lang w:eastAsia="fr-FR"/>
        </w:rPr>
        <w:t>s de la recherche</w:t>
      </w:r>
      <w:r w:rsidR="008A3D02">
        <w:rPr>
          <w:rFonts w:eastAsia="Times New Roman"/>
          <w:lang w:eastAsia="fr-FR"/>
        </w:rPr>
        <w:t xml:space="preserve"> LireEcrire-CP</w:t>
      </w:r>
      <w:r w:rsidR="00F37CBE" w:rsidRPr="00CC44EE">
        <w:rPr>
          <w:rStyle w:val="Appeldenotedefin"/>
          <w:rFonts w:eastAsia="Times New Roman"/>
          <w:lang w:eastAsia="fr-FR"/>
        </w:rPr>
        <w:endnoteReference w:id="2"/>
      </w:r>
      <w:r w:rsidR="009A3677" w:rsidRPr="00CC44EE">
        <w:rPr>
          <w:rFonts w:eastAsia="Times New Roman"/>
          <w:lang w:eastAsia="fr-FR"/>
        </w:rPr>
        <w:t xml:space="preserve">, </w:t>
      </w:r>
      <w:r w:rsidR="007A2EA7">
        <w:rPr>
          <w:rFonts w:eastAsia="Times New Roman"/>
          <w:lang w:eastAsia="fr-FR"/>
        </w:rPr>
        <w:t>sont dépendantes</w:t>
      </w:r>
      <w:r w:rsidR="009A3677" w:rsidRPr="00CC44EE">
        <w:rPr>
          <w:rFonts w:eastAsia="Times New Roman"/>
          <w:lang w:eastAsia="fr-FR"/>
        </w:rPr>
        <w:t xml:space="preserve"> des</w:t>
      </w:r>
      <w:r>
        <w:rPr>
          <w:rFonts w:eastAsia="Times New Roman"/>
          <w:lang w:eastAsia="fr-FR"/>
        </w:rPr>
        <w:t xml:space="preserve"> conduites de verbalisation</w:t>
      </w:r>
      <w:r w:rsidR="007A2EA7">
        <w:rPr>
          <w:rFonts w:eastAsia="Times New Roman"/>
          <w:lang w:eastAsia="fr-FR"/>
        </w:rPr>
        <w:t>,</w:t>
      </w:r>
      <w:r>
        <w:rPr>
          <w:rFonts w:eastAsia="Times New Roman"/>
          <w:lang w:eastAsia="fr-FR"/>
        </w:rPr>
        <w:t xml:space="preserve"> à même d’expliquer les écarts enregistrés</w:t>
      </w:r>
      <w:r w:rsidR="007A2EA7">
        <w:rPr>
          <w:rFonts w:eastAsia="Times New Roman"/>
          <w:lang w:eastAsia="fr-FR"/>
        </w:rPr>
        <w:t xml:space="preserve"> s’agissant de la durée des tâches et des modalités d’accompagnement,</w:t>
      </w:r>
      <w:r w:rsidR="008A3D02">
        <w:rPr>
          <w:rFonts w:eastAsia="Times New Roman"/>
          <w:lang w:eastAsia="fr-FR"/>
        </w:rPr>
        <w:t xml:space="preserve"> mais aussi</w:t>
      </w:r>
      <w:r w:rsidR="007A2EA7">
        <w:rPr>
          <w:rFonts w:eastAsia="Times New Roman"/>
          <w:lang w:eastAsia="fr-FR"/>
        </w:rPr>
        <w:t xml:space="preserve"> de</w:t>
      </w:r>
      <w:r>
        <w:rPr>
          <w:rFonts w:eastAsia="Times New Roman"/>
          <w:lang w:eastAsia="fr-FR"/>
        </w:rPr>
        <w:t xml:space="preserve"> </w:t>
      </w:r>
      <w:r w:rsidR="009A3677" w:rsidRPr="00CC44EE">
        <w:rPr>
          <w:rFonts w:eastAsia="Times New Roman"/>
          <w:lang w:eastAsia="fr-FR"/>
        </w:rPr>
        <w:t>rendre</w:t>
      </w:r>
      <w:r w:rsidR="008D7831" w:rsidRPr="00CC44EE">
        <w:rPr>
          <w:rFonts w:eastAsia="Times New Roman"/>
          <w:lang w:eastAsia="fr-FR"/>
        </w:rPr>
        <w:t xml:space="preserve"> </w:t>
      </w:r>
      <w:r w:rsidR="009A3677" w:rsidRPr="00CC44EE">
        <w:rPr>
          <w:rFonts w:eastAsia="Times New Roman"/>
          <w:lang w:eastAsia="fr-FR"/>
        </w:rPr>
        <w:t xml:space="preserve">compte d’un </w:t>
      </w:r>
      <w:r>
        <w:rPr>
          <w:rFonts w:eastAsia="Times New Roman"/>
          <w:lang w:eastAsia="fr-FR"/>
        </w:rPr>
        <w:t>possible effet-</w:t>
      </w:r>
      <w:r w:rsidR="009A3677" w:rsidRPr="00CC44EE">
        <w:rPr>
          <w:rFonts w:eastAsia="Times New Roman"/>
          <w:lang w:eastAsia="fr-FR"/>
        </w:rPr>
        <w:t>maître</w:t>
      </w:r>
      <w:r>
        <w:rPr>
          <w:rFonts w:eastAsia="Times New Roman"/>
          <w:lang w:eastAsia="fr-FR"/>
        </w:rPr>
        <w:t>. Elle</w:t>
      </w:r>
      <w:r w:rsidRPr="00CC44EE">
        <w:t xml:space="preserve"> s’intéresse </w:t>
      </w:r>
      <w:r w:rsidR="00140199">
        <w:t>en particulier à la reformulation</w:t>
      </w:r>
      <w:r w:rsidRPr="00CC44EE">
        <w:t xml:space="preserve"> </w:t>
      </w:r>
      <w:r w:rsidR="00140199">
        <w:t xml:space="preserve">comme geste professionnel langagier : </w:t>
      </w:r>
      <w:r w:rsidR="007A2EA7">
        <w:t>pourquoi un enseignant</w:t>
      </w:r>
      <w:r w:rsidRPr="00CC44EE">
        <w:t xml:space="preserve"> est</w:t>
      </w:r>
      <w:r w:rsidR="00140199">
        <w:t>-il amené</w:t>
      </w:r>
      <w:r w:rsidRPr="00CC44EE">
        <w:t xml:space="preserve"> à répéter, modifier, compléter tout ou partie de ses énoncés ou de ceux </w:t>
      </w:r>
      <w:r w:rsidR="007A2EA7">
        <w:t>de</w:t>
      </w:r>
      <w:r w:rsidR="00140199">
        <w:t xml:space="preserve"> ses élèves ?</w:t>
      </w:r>
    </w:p>
    <w:p w:rsidR="009E45B2" w:rsidRPr="00CC44EE" w:rsidRDefault="009E45B2" w:rsidP="009E45B2">
      <w:pPr>
        <w:jc w:val="both"/>
      </w:pPr>
      <w:r w:rsidRPr="00CC44EE">
        <w:lastRenderedPageBreak/>
        <w:t xml:space="preserve">La démarche s’effectue en trois temps : le premier est consacré à l’examen des définitions et caractéristiques des actes de reformulation telles que les ont </w:t>
      </w:r>
      <w:r w:rsidR="0009056D">
        <w:t>balisées les travaux fondateurs </w:t>
      </w:r>
      <w:r w:rsidRPr="00CC44EE">
        <w:t xml:space="preserve">(Gülich, Kotshi, 1987 ; de Gaulmyn, 1987 ; François </w:t>
      </w:r>
      <w:r w:rsidRPr="00DB0770">
        <w:rPr>
          <w:i/>
        </w:rPr>
        <w:t>et al.</w:t>
      </w:r>
      <w:r w:rsidRPr="00CC44EE">
        <w:t xml:space="preserve">, 1977) </w:t>
      </w:r>
      <w:r w:rsidR="008A3D02">
        <w:t>ainsi que</w:t>
      </w:r>
      <w:r w:rsidR="0009056D">
        <w:t xml:space="preserve"> ceux plus</w:t>
      </w:r>
      <w:r w:rsidRPr="00CC44EE">
        <w:t xml:space="preserve"> récents qui proposent une approche de la reformulation intégrant les conditions pluri-modales et pluri-sémiotiques de production, dès lors que p</w:t>
      </w:r>
      <w:r w:rsidR="00DB0770">
        <w:t>articipent au processus des arté</w:t>
      </w:r>
      <w:r w:rsidRPr="00CC44EE">
        <w:t xml:space="preserve">facts graphiques ou technologiques (Rabatel </w:t>
      </w:r>
      <w:r w:rsidRPr="00DB0770">
        <w:rPr>
          <w:i/>
        </w:rPr>
        <w:t>et al.</w:t>
      </w:r>
      <w:r w:rsidR="00DB0770">
        <w:t>,</w:t>
      </w:r>
      <w:r w:rsidRPr="00CC44EE">
        <w:t xml:space="preserve"> 2010).</w:t>
      </w:r>
    </w:p>
    <w:p w:rsidR="009E45B2" w:rsidRPr="00CC44EE" w:rsidRDefault="009E45B2" w:rsidP="009E45B2">
      <w:pPr>
        <w:jc w:val="both"/>
      </w:pPr>
    </w:p>
    <w:p w:rsidR="009E45B2" w:rsidRPr="00CC44EE" w:rsidRDefault="009E45B2" w:rsidP="009E45B2">
      <w:pPr>
        <w:jc w:val="both"/>
      </w:pPr>
      <w:r w:rsidRPr="00CC44EE">
        <w:t xml:space="preserve">Qu’il s’agisse d’auto- ou d’hétéro-reformulations, initiées par l’enseignant ou les élèves, qu’elles soient paraphrastiques ou non paraphrastiques (Rossari, 1994), qu’elles invitent à la clarification, à la correction ou à la complexification (Veneziano, 1997), les reformulations s’inscrivent dans la dynamique interactionnelle de la classe comme élément moteur de l’activité langagière (Volteau, Garcia-Debanc, 2008). A même de réguler l’intercompréhension, elles constituent, au sens ethnométhodologique, une </w:t>
      </w:r>
      <w:r w:rsidR="00140199">
        <w:t xml:space="preserve">ressource orientée </w:t>
      </w:r>
      <w:r w:rsidR="0009056D">
        <w:t xml:space="preserve">pour l’action, </w:t>
      </w:r>
      <w:r w:rsidR="00F1747C">
        <w:t xml:space="preserve">relevant de procédures d’étayage et de tissage à élucider, </w:t>
      </w:r>
      <w:r w:rsidR="0009056D">
        <w:t>composante détermi</w:t>
      </w:r>
      <w:r w:rsidR="00F1747C">
        <w:t>nante du temps didactique et</w:t>
      </w:r>
      <w:r w:rsidR="0009056D">
        <w:t xml:space="preserve"> de la « visibilité didactique » (Chopin, 2002)</w:t>
      </w:r>
      <w:r w:rsidR="00F1747C">
        <w:t>.</w:t>
      </w:r>
    </w:p>
    <w:p w:rsidR="009E45B2" w:rsidRPr="00CC44EE" w:rsidRDefault="009E45B2" w:rsidP="009E45B2">
      <w:pPr>
        <w:jc w:val="both"/>
      </w:pPr>
    </w:p>
    <w:p w:rsidR="00F804FB" w:rsidRPr="00CC44EE" w:rsidRDefault="00F804FB" w:rsidP="009C6D88">
      <w:pPr>
        <w:jc w:val="both"/>
      </w:pPr>
    </w:p>
    <w:p w:rsidR="00F804FB" w:rsidRPr="00CC44EE" w:rsidRDefault="00F804FB" w:rsidP="009C6D88">
      <w:pPr>
        <w:jc w:val="both"/>
      </w:pPr>
      <w:r w:rsidRPr="00CC44EE">
        <w:t>Bibliographie</w:t>
      </w:r>
    </w:p>
    <w:p w:rsidR="00F804FB" w:rsidRPr="00CC44EE" w:rsidRDefault="00F804FB" w:rsidP="009C6D88">
      <w:pPr>
        <w:jc w:val="both"/>
      </w:pPr>
    </w:p>
    <w:p w:rsidR="009751DE" w:rsidRPr="00CC44EE" w:rsidRDefault="009751DE" w:rsidP="009751DE">
      <w:pPr>
        <w:autoSpaceDE w:val="0"/>
        <w:autoSpaceDN w:val="0"/>
        <w:adjustRightInd w:val="0"/>
        <w:jc w:val="both"/>
      </w:pPr>
      <w:r w:rsidRPr="00CC44EE">
        <w:t xml:space="preserve">BRIGAUDIOT M. (2004), </w:t>
      </w:r>
      <w:r w:rsidRPr="00CC44EE">
        <w:rPr>
          <w:i/>
          <w:iCs/>
        </w:rPr>
        <w:t>Première maitrise de l’écrit, CP, CE1 et secteur spécialisé</w:t>
      </w:r>
      <w:r w:rsidRPr="00CC44EE">
        <w:t>,</w:t>
      </w:r>
    </w:p>
    <w:p w:rsidR="009751DE" w:rsidRPr="00CC44EE" w:rsidRDefault="009751DE" w:rsidP="009751DE">
      <w:pPr>
        <w:pStyle w:val="Titre1"/>
        <w:spacing w:before="0" w:beforeAutospacing="0" w:after="0" w:afterAutospacing="0"/>
        <w:rPr>
          <w:b w:val="0"/>
          <w:sz w:val="24"/>
          <w:szCs w:val="24"/>
        </w:rPr>
      </w:pPr>
      <w:r w:rsidRPr="00CC44EE">
        <w:rPr>
          <w:b w:val="0"/>
          <w:sz w:val="24"/>
          <w:szCs w:val="24"/>
        </w:rPr>
        <w:t xml:space="preserve">BUCHETON D., SOULE Y. (2009), </w:t>
      </w:r>
      <w:r w:rsidR="00CC44EE" w:rsidRPr="00CC44EE">
        <w:rPr>
          <w:b w:val="0"/>
          <w:sz w:val="24"/>
          <w:szCs w:val="24"/>
        </w:rPr>
        <w:t>« </w:t>
      </w:r>
      <w:r w:rsidRPr="00CC44EE">
        <w:rPr>
          <w:b w:val="0"/>
          <w:sz w:val="24"/>
          <w:szCs w:val="24"/>
        </w:rPr>
        <w:t>Les gestes professionnels et le jeu des postures de l’enseignant dans la classe : un multi-agenda de préoccupations enchâssées</w:t>
      </w:r>
      <w:r w:rsidR="00CC44EE" w:rsidRPr="00CC44EE">
        <w:rPr>
          <w:b w:val="0"/>
          <w:sz w:val="24"/>
          <w:szCs w:val="24"/>
        </w:rPr>
        <w:t> »</w:t>
      </w:r>
      <w:r w:rsidRPr="00CC44EE">
        <w:rPr>
          <w:b w:val="0"/>
          <w:sz w:val="24"/>
          <w:szCs w:val="24"/>
        </w:rPr>
        <w:t>, Education &amp;Didactique, vol.3, n°3.</w:t>
      </w:r>
    </w:p>
    <w:p w:rsidR="009751DE" w:rsidRPr="00CC44EE" w:rsidRDefault="009751DE" w:rsidP="009751DE">
      <w:pPr>
        <w:autoSpaceDE w:val="0"/>
        <w:autoSpaceDN w:val="0"/>
        <w:adjustRightInd w:val="0"/>
        <w:jc w:val="both"/>
        <w:rPr>
          <w:i/>
          <w:iCs/>
        </w:rPr>
      </w:pPr>
      <w:r w:rsidRPr="00CC44EE">
        <w:t xml:space="preserve">BUCHETON D., SOULE Y. (2009), </w:t>
      </w:r>
      <w:r w:rsidRPr="00CC44EE">
        <w:rPr>
          <w:i/>
          <w:iCs/>
        </w:rPr>
        <w:t>L’atelier dirigé d’écriture au CP. Une réponse à</w:t>
      </w:r>
    </w:p>
    <w:p w:rsidR="009751DE" w:rsidRPr="00CC44EE" w:rsidRDefault="009751DE" w:rsidP="009751DE">
      <w:pPr>
        <w:autoSpaceDE w:val="0"/>
        <w:autoSpaceDN w:val="0"/>
        <w:adjustRightInd w:val="0"/>
        <w:jc w:val="both"/>
      </w:pPr>
      <w:r w:rsidRPr="00CC44EE">
        <w:t xml:space="preserve">d’enseignement sur les apprentissages des élèves ? » </w:t>
      </w:r>
      <w:r w:rsidRPr="00CC44EE">
        <w:rPr>
          <w:i/>
          <w:iCs/>
        </w:rPr>
        <w:t>Recherches en didactiques</w:t>
      </w:r>
      <w:r w:rsidRPr="00CC44EE">
        <w:t>, Delagrave.</w:t>
      </w:r>
    </w:p>
    <w:p w:rsidR="0009056D" w:rsidRPr="0009056D" w:rsidRDefault="0009056D" w:rsidP="0009056D">
      <w:pPr>
        <w:rPr>
          <w:rFonts w:eastAsia="Times New Roman"/>
          <w:lang w:eastAsia="fr-FR"/>
        </w:rPr>
      </w:pPr>
      <w:r>
        <w:rPr>
          <w:rFonts w:eastAsia="Times New Roman"/>
          <w:bCs/>
          <w:kern w:val="36"/>
          <w:lang w:eastAsia="fr-FR"/>
        </w:rPr>
        <w:t>CHOPIN MP., (2008), « </w:t>
      </w:r>
      <w:r w:rsidRPr="0009056D">
        <w:rPr>
          <w:rFonts w:eastAsia="Times New Roman"/>
          <w:bCs/>
          <w:kern w:val="36"/>
          <w:lang w:eastAsia="fr-FR"/>
        </w:rPr>
        <w:t>La visibilité didactique : un milieu pour l’action du professeur</w:t>
      </w:r>
      <w:r>
        <w:rPr>
          <w:rFonts w:eastAsia="Times New Roman"/>
          <w:bCs/>
          <w:kern w:val="36"/>
          <w:lang w:eastAsia="fr-FR"/>
        </w:rPr>
        <w:t xml:space="preserve">, </w:t>
      </w:r>
      <w:r w:rsidRPr="0009056D">
        <w:rPr>
          <w:rFonts w:eastAsia="Times New Roman"/>
          <w:lang w:eastAsia="fr-FR"/>
        </w:rPr>
        <w:t>Présentation d’un concept pour l’étude des pratiques d’enseignement</w:t>
      </w:r>
      <w:r>
        <w:rPr>
          <w:rFonts w:eastAsia="Times New Roman"/>
          <w:lang w:eastAsia="fr-FR"/>
        </w:rPr>
        <w:t xml:space="preserve"> », </w:t>
      </w:r>
      <w:r>
        <w:rPr>
          <w:rFonts w:eastAsia="Times New Roman"/>
          <w:bCs/>
          <w:kern w:val="36"/>
          <w:lang w:eastAsia="fr-FR"/>
        </w:rPr>
        <w:t>Education &amp; Didactique, vol.2, n°2.</w:t>
      </w:r>
    </w:p>
    <w:p w:rsidR="009751DE" w:rsidRPr="00CC44EE" w:rsidRDefault="009751DE" w:rsidP="009C6D88">
      <w:pPr>
        <w:jc w:val="both"/>
      </w:pPr>
      <w:r w:rsidRPr="00CC44EE">
        <w:t xml:space="preserve">De GAULMYN M-M., (1987), “Actes de reformulation et processus de reformulation”, in </w:t>
      </w:r>
      <w:r w:rsidRPr="00CC44EE">
        <w:rPr>
          <w:i/>
        </w:rPr>
        <w:t>La dame de Caluire</w:t>
      </w:r>
      <w:r w:rsidRPr="00CC44EE">
        <w:t>, Peter Lang.</w:t>
      </w:r>
    </w:p>
    <w:p w:rsidR="009751DE" w:rsidRPr="00CC44EE" w:rsidRDefault="009751DE" w:rsidP="009C6D88">
      <w:pPr>
        <w:jc w:val="both"/>
      </w:pPr>
      <w:r w:rsidRPr="00CC44EE">
        <w:t xml:space="preserve">FUCHS C., (1982), </w:t>
      </w:r>
      <w:r w:rsidRPr="00CC44EE">
        <w:rPr>
          <w:i/>
        </w:rPr>
        <w:t>La paraphrase</w:t>
      </w:r>
      <w:r w:rsidRPr="00CC44EE">
        <w:t>, PUF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t>GOIGOUX R. (2015), « Comment et pourquoi évaluer l’influence des pratiques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t>l’efficacité dans l’enseignement », dans X. Dumay et V. Dupriez (dir.),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rPr>
          <w:i/>
          <w:iCs/>
        </w:rPr>
        <w:t>L’efficacité dans l’enseignement</w:t>
      </w:r>
      <w:r w:rsidRPr="00CC44EE">
        <w:t>, Bruxelles, De Boeck, p. 19-34.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rPr>
          <w:i/>
          <w:iCs/>
        </w:rPr>
        <w:t>l’hétérogénéité des élèves</w:t>
      </w:r>
      <w:r w:rsidRPr="00CC44EE">
        <w:t>, Paris, Delagrave.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  <w:rPr>
          <w:i/>
          <w:iCs/>
        </w:rPr>
      </w:pPr>
      <w:r w:rsidRPr="00CC44EE">
        <w:t xml:space="preserve">LEPLAT J. (1997), </w:t>
      </w:r>
      <w:r w:rsidRPr="00CC44EE">
        <w:rPr>
          <w:i/>
          <w:iCs/>
        </w:rPr>
        <w:t>Regards sur l’activité en situation de travail. Contribution à la</w:t>
      </w:r>
    </w:p>
    <w:p w:rsidR="009751DE" w:rsidRPr="00CC44EE" w:rsidRDefault="009751DE" w:rsidP="009C6D88">
      <w:pPr>
        <w:jc w:val="both"/>
      </w:pPr>
      <w:r w:rsidRPr="00CC44EE">
        <w:t xml:space="preserve">MARTINOT, Cl., « Pour une linguistique de l’acquisition, la reformulation : du concept descriptif au concept explicatif », </w:t>
      </w:r>
      <w:r w:rsidRPr="00CC44EE">
        <w:rPr>
          <w:i/>
        </w:rPr>
        <w:t>Langage et société</w:t>
      </w:r>
      <w:r w:rsidRPr="00CC44EE">
        <w:t>, 2003/2, n°104, pp.147-151.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t>n° 19 (à paraitre).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t>Paris, Hachette Éducation.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rPr>
          <w:i/>
          <w:iCs/>
        </w:rPr>
        <w:t>psychologie ergonomique</w:t>
      </w:r>
      <w:r w:rsidRPr="00CC44EE">
        <w:t>, Paris, PUF.</w:t>
      </w:r>
    </w:p>
    <w:p w:rsidR="009751DE" w:rsidRPr="00CC44EE" w:rsidRDefault="009751DE" w:rsidP="009C6D88">
      <w:pPr>
        <w:jc w:val="both"/>
      </w:pPr>
      <w:r w:rsidRPr="00CC44EE">
        <w:t>RABATEL, A., (dir.), Les reformulations pluri-sémiotiques en contexte de formation, PU Franche-Comté, 2010.</w:t>
      </w:r>
    </w:p>
    <w:p w:rsidR="009751DE" w:rsidRPr="00CC44EE" w:rsidRDefault="009751DE" w:rsidP="00856E5E">
      <w:pPr>
        <w:jc w:val="both"/>
      </w:pPr>
      <w:r w:rsidRPr="00CC44EE">
        <w:t xml:space="preserve">SOULE Y., KERVYN B. GEOFFRE, T. et CHABANNE J.-C. (2015). « Évaluer la production d’écrit en fin du cours préparatoire. De l’élaboration d’une épreuve de test à l’analyse des résultats obtenus», in E. Falardeau et al., </w:t>
      </w:r>
      <w:r w:rsidRPr="00CC44EE">
        <w:rPr>
          <w:i/>
          <w:iCs/>
        </w:rPr>
        <w:t xml:space="preserve">L’évaluation en classe de français. Outil didactique et politique, Presses Universitaires de Namur (soumis). </w:t>
      </w:r>
    </w:p>
    <w:p w:rsidR="009751DE" w:rsidRPr="00CC44EE" w:rsidRDefault="009751DE" w:rsidP="009C6D88">
      <w:pPr>
        <w:autoSpaceDE w:val="0"/>
        <w:autoSpaceDN w:val="0"/>
        <w:adjustRightInd w:val="0"/>
        <w:jc w:val="both"/>
      </w:pPr>
      <w:r w:rsidRPr="00CC44EE">
        <w:t xml:space="preserve">VAN DAMME J. et </w:t>
      </w:r>
      <w:r w:rsidRPr="00CC44EE">
        <w:rPr>
          <w:i/>
          <w:iCs/>
        </w:rPr>
        <w:t xml:space="preserve">al. </w:t>
      </w:r>
      <w:r w:rsidRPr="00CC44EE">
        <w:t>(2009). « Fondements et principaux résultats de recherche sur</w:t>
      </w:r>
    </w:p>
    <w:p w:rsidR="009751DE" w:rsidRPr="00CC44EE" w:rsidRDefault="009751DE" w:rsidP="009C6D88">
      <w:pPr>
        <w:jc w:val="both"/>
      </w:pPr>
      <w:r w:rsidRPr="00CC44EE">
        <w:t xml:space="preserve">VOLTEAU, S., GARCIA-DEBANC, Cl., (2008), « Gérer les reformulations : un geste professionnel, Influence des objets enseignés sur les types de reformulation », in Bucheton, D. </w:t>
      </w:r>
      <w:r w:rsidRPr="00CC44EE">
        <w:lastRenderedPageBreak/>
        <w:t xml:space="preserve">&amp; Dezutter, O., (dir.), </w:t>
      </w:r>
      <w:r w:rsidRPr="00CC44EE">
        <w:rPr>
          <w:i/>
        </w:rPr>
        <w:t>Le Développement des gestes professionnels dans l’enseignement du français</w:t>
      </w:r>
      <w:r w:rsidRPr="00CC44EE">
        <w:t>, De Boeck.</w:t>
      </w:r>
    </w:p>
    <w:p w:rsidR="00856E5E" w:rsidRPr="00CC44EE" w:rsidRDefault="00856E5E" w:rsidP="009C6D88">
      <w:pPr>
        <w:jc w:val="both"/>
      </w:pPr>
    </w:p>
    <w:p w:rsidR="00F804FB" w:rsidRPr="00CC44EE" w:rsidRDefault="00F804FB" w:rsidP="009C6D88">
      <w:pPr>
        <w:jc w:val="both"/>
      </w:pPr>
    </w:p>
    <w:p w:rsidR="00F804FB" w:rsidRPr="00CC44EE" w:rsidRDefault="00F804FB" w:rsidP="009C6D88">
      <w:pPr>
        <w:jc w:val="both"/>
      </w:pPr>
    </w:p>
    <w:p w:rsidR="00F804FB" w:rsidRPr="00CC44EE" w:rsidRDefault="00F804FB" w:rsidP="009C6D88">
      <w:pPr>
        <w:jc w:val="both"/>
        <w:rPr>
          <w:rFonts w:eastAsia="Times New Roman"/>
          <w:lang w:eastAsia="fr-FR"/>
        </w:rPr>
      </w:pPr>
    </w:p>
    <w:p w:rsidR="00F804FB" w:rsidRPr="00CC44EE" w:rsidRDefault="00F804FB" w:rsidP="009C6D88">
      <w:pPr>
        <w:jc w:val="both"/>
      </w:pPr>
    </w:p>
    <w:sectPr w:rsidR="00F804FB" w:rsidRPr="00CC44EE" w:rsidSect="0050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10" w:rsidRDefault="00B20110" w:rsidP="00F37CBE">
      <w:r>
        <w:separator/>
      </w:r>
    </w:p>
  </w:endnote>
  <w:endnote w:type="continuationSeparator" w:id="0">
    <w:p w:rsidR="00B20110" w:rsidRDefault="00B20110" w:rsidP="00F37CBE">
      <w:r>
        <w:continuationSeparator/>
      </w:r>
    </w:p>
  </w:endnote>
  <w:endnote w:id="1">
    <w:p w:rsidR="00CC44EE" w:rsidRDefault="00CC44EE">
      <w:pPr>
        <w:pStyle w:val="Notedefin"/>
      </w:pPr>
      <w:r>
        <w:rPr>
          <w:rStyle w:val="Appeldenotedefin"/>
        </w:rPr>
        <w:endnoteRef/>
      </w:r>
      <w:r>
        <w:t xml:space="preserve"> Séminaire du 25 septembre 2015, Lyon.</w:t>
      </w:r>
    </w:p>
  </w:endnote>
  <w:endnote w:id="2">
    <w:p w:rsidR="00F37CBE" w:rsidRPr="00F37CBE" w:rsidRDefault="00F37CBE" w:rsidP="00F37CBE">
      <w:pPr>
        <w:pStyle w:val="Normal1"/>
        <w:jc w:val="both"/>
        <w:rPr>
          <w:rFonts w:ascii="Times New Roman" w:hAnsi="Times New Roman" w:cs="Times New Roman"/>
          <w:sz w:val="20"/>
        </w:rPr>
      </w:pPr>
      <w:r w:rsidRPr="00F37CBE">
        <w:rPr>
          <w:rStyle w:val="Appeldenotedefin"/>
          <w:rFonts w:ascii="Times New Roman" w:hAnsi="Times New Roman" w:cs="Times New Roman"/>
          <w:sz w:val="20"/>
        </w:rPr>
        <w:endnoteRef/>
      </w:r>
      <w:r w:rsidRPr="00F37CBE">
        <w:rPr>
          <w:rFonts w:ascii="Times New Roman" w:hAnsi="Times New Roman" w:cs="Times New Roman"/>
          <w:sz w:val="20"/>
        </w:rPr>
        <w:t xml:space="preserve"> </w:t>
      </w:r>
      <w:r w:rsidR="007A2EA7">
        <w:rPr>
          <w:rFonts w:ascii="Times New Roman" w:hAnsi="Times New Roman" w:cs="Times New Roman"/>
          <w:sz w:val="20"/>
        </w:rPr>
        <w:t xml:space="preserve">Le Groupe 4 « Ecriture » : </w:t>
      </w:r>
      <w:r w:rsidRPr="00F37CBE">
        <w:rPr>
          <w:rFonts w:ascii="Times New Roman" w:hAnsi="Times New Roman" w:cs="Times New Roman"/>
          <w:sz w:val="20"/>
        </w:rPr>
        <w:t>Martine Dreyfus, Yves Soulé, Catherine Dupuy (Université de Montpellier, LIRDEF) ;</w:t>
      </w:r>
      <w:r>
        <w:rPr>
          <w:rFonts w:ascii="Times New Roman" w:hAnsi="Times New Roman" w:cs="Times New Roman"/>
          <w:sz w:val="20"/>
        </w:rPr>
        <w:t xml:space="preserve"> </w:t>
      </w:r>
      <w:r w:rsidRPr="00F37CBE">
        <w:rPr>
          <w:rFonts w:ascii="Times New Roman" w:hAnsi="Times New Roman" w:cs="Times New Roman"/>
          <w:sz w:val="20"/>
        </w:rPr>
        <w:t>Catherine Brissaud, Corinne Totereau (Université Grenoble-Alpes, LIDILEM)</w:t>
      </w:r>
      <w:r>
        <w:rPr>
          <w:rFonts w:ascii="Times New Roman" w:hAnsi="Times New Roman" w:cs="Times New Roman"/>
          <w:sz w:val="20"/>
        </w:rPr>
        <w:t xml:space="preserve"> ; </w:t>
      </w:r>
      <w:r w:rsidRPr="00F37CBE">
        <w:rPr>
          <w:rFonts w:ascii="Times New Roman" w:hAnsi="Times New Roman" w:cs="Times New Roman"/>
          <w:sz w:val="20"/>
        </w:rPr>
        <w:t>Laurence Pasa, (Université Toulouse Jean Jaurès, UMR EFTS)</w:t>
      </w:r>
      <w:r>
        <w:rPr>
          <w:rFonts w:ascii="Times New Roman" w:hAnsi="Times New Roman" w:cs="Times New Roman"/>
          <w:sz w:val="20"/>
        </w:rPr>
        <w:t xml:space="preserve"> ; </w:t>
      </w:r>
      <w:r w:rsidRPr="00F37CBE">
        <w:rPr>
          <w:rFonts w:ascii="Times New Roman" w:hAnsi="Times New Roman" w:cs="Times New Roman"/>
          <w:sz w:val="20"/>
        </w:rPr>
        <w:t>Jean-Charles Chabanne, (IFé / ENS de Lyon)</w:t>
      </w:r>
    </w:p>
    <w:p w:rsidR="00F37CBE" w:rsidRDefault="00F37CBE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10" w:rsidRDefault="00B20110" w:rsidP="00F37CBE">
      <w:r>
        <w:separator/>
      </w:r>
    </w:p>
  </w:footnote>
  <w:footnote w:type="continuationSeparator" w:id="0">
    <w:p w:rsidR="00B20110" w:rsidRDefault="00B20110" w:rsidP="00F3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75267"/>
    <w:multiLevelType w:val="hybridMultilevel"/>
    <w:tmpl w:val="EFFEA12C"/>
    <w:lvl w:ilvl="0" w:tplc="BE96F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4B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60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41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03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0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61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00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31"/>
    <w:rsid w:val="0009056D"/>
    <w:rsid w:val="000D54E1"/>
    <w:rsid w:val="00100E7F"/>
    <w:rsid w:val="00140199"/>
    <w:rsid w:val="001923DD"/>
    <w:rsid w:val="0027383E"/>
    <w:rsid w:val="002D5AA1"/>
    <w:rsid w:val="00311A4C"/>
    <w:rsid w:val="003310D3"/>
    <w:rsid w:val="003E2E6E"/>
    <w:rsid w:val="003E6E59"/>
    <w:rsid w:val="004A51DE"/>
    <w:rsid w:val="004C1B47"/>
    <w:rsid w:val="004E3C42"/>
    <w:rsid w:val="00502757"/>
    <w:rsid w:val="00593D6E"/>
    <w:rsid w:val="007A2EA7"/>
    <w:rsid w:val="007E14F6"/>
    <w:rsid w:val="00830F17"/>
    <w:rsid w:val="00853CB4"/>
    <w:rsid w:val="00856E5E"/>
    <w:rsid w:val="008A3D02"/>
    <w:rsid w:val="008D7831"/>
    <w:rsid w:val="00946BF5"/>
    <w:rsid w:val="0095015F"/>
    <w:rsid w:val="00950859"/>
    <w:rsid w:val="00964C74"/>
    <w:rsid w:val="009751DE"/>
    <w:rsid w:val="009A3677"/>
    <w:rsid w:val="009C6D88"/>
    <w:rsid w:val="009E45B2"/>
    <w:rsid w:val="009F16A0"/>
    <w:rsid w:val="00AB3073"/>
    <w:rsid w:val="00B20110"/>
    <w:rsid w:val="00C072E9"/>
    <w:rsid w:val="00C368E6"/>
    <w:rsid w:val="00C47815"/>
    <w:rsid w:val="00CC44EE"/>
    <w:rsid w:val="00D26F20"/>
    <w:rsid w:val="00D72316"/>
    <w:rsid w:val="00DB0770"/>
    <w:rsid w:val="00DF7920"/>
    <w:rsid w:val="00ED049B"/>
    <w:rsid w:val="00F1747C"/>
    <w:rsid w:val="00F3038E"/>
    <w:rsid w:val="00F37CBE"/>
    <w:rsid w:val="00F804FB"/>
    <w:rsid w:val="00F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9983EE-15D5-4E5C-AB60-A9CE9479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57"/>
  </w:style>
  <w:style w:type="paragraph" w:styleId="Titre1">
    <w:name w:val="heading 1"/>
    <w:basedOn w:val="Normal"/>
    <w:link w:val="Titre1Car"/>
    <w:uiPriority w:val="9"/>
    <w:qFormat/>
    <w:rsid w:val="009751D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831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F804FB"/>
    <w:rPr>
      <w:b/>
      <w:bCs/>
    </w:rPr>
  </w:style>
  <w:style w:type="character" w:customStyle="1" w:styleId="apple-tab-span">
    <w:name w:val="apple-tab-span"/>
    <w:basedOn w:val="Policepardfaut"/>
    <w:rsid w:val="00F804FB"/>
  </w:style>
  <w:style w:type="paragraph" w:styleId="Notedefin">
    <w:name w:val="endnote text"/>
    <w:basedOn w:val="Normal"/>
    <w:link w:val="NotedefinCar"/>
    <w:uiPriority w:val="99"/>
    <w:unhideWhenUsed/>
    <w:rsid w:val="00F37CB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F37CB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37CBE"/>
    <w:rPr>
      <w:vertAlign w:val="superscript"/>
    </w:rPr>
  </w:style>
  <w:style w:type="paragraph" w:customStyle="1" w:styleId="Normal1">
    <w:name w:val="Normal1"/>
    <w:rsid w:val="00F37CBE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751DE"/>
    <w:rPr>
      <w:rFonts w:eastAsia="Times New Roman"/>
      <w:b/>
      <w:bCs/>
      <w:kern w:val="36"/>
      <w:sz w:val="48"/>
      <w:szCs w:val="48"/>
      <w:lang w:eastAsia="fr-FR"/>
    </w:rPr>
  </w:style>
  <w:style w:type="character" w:customStyle="1" w:styleId="text">
    <w:name w:val="text"/>
    <w:basedOn w:val="Policepardfaut"/>
    <w:rsid w:val="0097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2811-D9F1-4E9D-973F-C2AD225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 Soulé</dc:creator>
  <cp:lastModifiedBy>Christelle HERRAUD</cp:lastModifiedBy>
  <cp:revision>2</cp:revision>
  <dcterms:created xsi:type="dcterms:W3CDTF">2015-10-08T09:44:00Z</dcterms:created>
  <dcterms:modified xsi:type="dcterms:W3CDTF">2015-10-08T09:44:00Z</dcterms:modified>
</cp:coreProperties>
</file>