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67EFB" w14:textId="07E27133" w:rsidR="00636035" w:rsidRDefault="00B3799A" w:rsidP="00636035">
      <w:bookmarkStart w:id="0" w:name="_GoBack"/>
      <w:bookmarkEnd w:id="0"/>
      <w:r w:rsidRPr="00B3799A">
        <w:rPr>
          <w:b/>
        </w:rPr>
        <w:t>Contribution</w:t>
      </w:r>
      <w:r>
        <w:t xml:space="preserve"> : </w:t>
      </w:r>
      <w:r w:rsidR="000D26EA">
        <w:t xml:space="preserve">La narration constitue une entrée pertinente pour construire des savoirs professionnels incarnés, </w:t>
      </w:r>
      <w:r w:rsidR="000A3ED2">
        <w:t>prenant</w:t>
      </w:r>
      <w:r w:rsidR="000D26EA">
        <w:t xml:space="preserve"> en compte le vécu personnel, en particulier </w:t>
      </w:r>
      <w:r w:rsidR="000A3ED2">
        <w:t xml:space="preserve">pour des </w:t>
      </w:r>
      <w:r w:rsidR="000D26EA">
        <w:t xml:space="preserve">étudiants qui entrent dans la formation à la profession enseignante </w:t>
      </w:r>
      <w:r w:rsidR="0092742B">
        <w:t xml:space="preserve">secondaire </w:t>
      </w:r>
      <w:r w:rsidR="000D26EA">
        <w:t>après d’autres expériences professionnelles</w:t>
      </w:r>
      <w:r w:rsidR="003C5AFB">
        <w:t xml:space="preserve">. </w:t>
      </w:r>
    </w:p>
    <w:p w14:paraId="14123FDF" w14:textId="6E8990E3" w:rsidR="00D521CB" w:rsidRPr="00D521CB" w:rsidRDefault="00636035" w:rsidP="00D521CB">
      <w:r>
        <w:t>Si la narration d’expérience peut prendre différentes formes</w:t>
      </w:r>
      <w:r w:rsidR="000D26EA">
        <w:t xml:space="preserve"> </w:t>
      </w:r>
      <w:r w:rsidR="000A3ED2">
        <w:t>(</w:t>
      </w:r>
      <w:r w:rsidR="000D26EA">
        <w:t>Malet</w:t>
      </w:r>
      <w:r w:rsidR="000A3ED2">
        <w:t xml:space="preserve">, </w:t>
      </w:r>
      <w:r>
        <w:t>2000), elle a comme particularité</w:t>
      </w:r>
      <w:r w:rsidR="00DB43E1">
        <w:t xml:space="preserve"> </w:t>
      </w:r>
      <w:r>
        <w:t>de s’inscrire</w:t>
      </w:r>
      <w:r w:rsidR="009704F4">
        <w:t xml:space="preserve"> </w:t>
      </w:r>
      <w:r>
        <w:t xml:space="preserve">dans un mode de pensée </w:t>
      </w:r>
      <w:r w:rsidR="009704F4">
        <w:t xml:space="preserve">« narratif » </w:t>
      </w:r>
      <w:r>
        <w:t xml:space="preserve">qui donne un espace et un statut à la connaissance </w:t>
      </w:r>
      <w:r w:rsidR="00C912E5">
        <w:t>contextualisée et</w:t>
      </w:r>
      <w:r>
        <w:t xml:space="preserve"> personnelle</w:t>
      </w:r>
      <w:r w:rsidR="000D26EA">
        <w:t xml:space="preserve">. </w:t>
      </w:r>
      <w:r w:rsidR="00D521CB">
        <w:t xml:space="preserve">En parallèle de tâches formelles sur les savoirs, les narrations </w:t>
      </w:r>
      <w:r w:rsidR="00D521CB" w:rsidRPr="00D521CB">
        <w:t>retraçant un événement particulier lié à</w:t>
      </w:r>
      <w:r w:rsidR="00D521CB" w:rsidRPr="000A3ED2">
        <w:t xml:space="preserve"> </w:t>
      </w:r>
      <w:r w:rsidR="007B1A68" w:rsidRPr="000A3ED2">
        <w:t>l’</w:t>
      </w:r>
      <w:r w:rsidR="00D521CB" w:rsidRPr="000A3ED2">
        <w:t>enseignement</w:t>
      </w:r>
      <w:r w:rsidR="00D521CB" w:rsidRPr="00D521CB">
        <w:t xml:space="preserve"> permettent :</w:t>
      </w:r>
    </w:p>
    <w:p w14:paraId="1B291BF1" w14:textId="77777777" w:rsidR="00D521CB" w:rsidRPr="0092742B" w:rsidRDefault="00D521CB" w:rsidP="007B1A68">
      <w:pPr>
        <w:pStyle w:val="Paragraphedeliste"/>
        <w:numPr>
          <w:ilvl w:val="0"/>
          <w:numId w:val="4"/>
        </w:numPr>
      </w:pPr>
      <w:r w:rsidRPr="00D521CB">
        <w:t xml:space="preserve">de mettre à jour les représentations et les questionnements </w:t>
      </w:r>
      <w:r w:rsidR="000A3ED2">
        <w:t>d</w:t>
      </w:r>
      <w:r w:rsidRPr="00D521CB">
        <w:t>es étudiants vis-à-vis de leur futur métier</w:t>
      </w:r>
      <w:r w:rsidR="000A3ED2">
        <w:t>;</w:t>
      </w:r>
    </w:p>
    <w:p w14:paraId="13219C6F" w14:textId="77777777" w:rsidR="00D521CB" w:rsidRDefault="00D521CB" w:rsidP="00D521CB">
      <w:pPr>
        <w:pStyle w:val="Paragraphedeliste"/>
        <w:numPr>
          <w:ilvl w:val="0"/>
          <w:numId w:val="4"/>
        </w:numPr>
      </w:pPr>
      <w:r>
        <w:t>d’apporter des éléments de réponses à ces questionnements par le biais de concepts théoriques issus de la recherche en didactique.</w:t>
      </w:r>
    </w:p>
    <w:p w14:paraId="0B7B046D" w14:textId="77777777" w:rsidR="00636035" w:rsidRDefault="000F27B7" w:rsidP="00D521CB">
      <w:r>
        <w:t xml:space="preserve">Ces narrations peuvent ainsi être considérées comme un outil pour se préparer à un </w:t>
      </w:r>
      <w:r w:rsidR="00B300A8">
        <w:t>métier complexe</w:t>
      </w:r>
      <w:r w:rsidR="006C5152">
        <w:t xml:space="preserve"> qui fa</w:t>
      </w:r>
      <w:r w:rsidR="007C2FEA">
        <w:t>it appel à des savoirs pluriels</w:t>
      </w:r>
      <w:r w:rsidR="000345E9">
        <w:t>,</w:t>
      </w:r>
      <w:r w:rsidR="007C2FEA">
        <w:t xml:space="preserve"> et</w:t>
      </w:r>
      <w:r w:rsidR="006C5152">
        <w:t xml:space="preserve"> </w:t>
      </w:r>
      <w:r w:rsidR="00B300A8">
        <w:t>dont la</w:t>
      </w:r>
      <w:r w:rsidR="006C5152">
        <w:t xml:space="preserve"> m</w:t>
      </w:r>
      <w:r w:rsidR="00B300A8">
        <w:t>obilisation se fait toujours</w:t>
      </w:r>
      <w:r w:rsidR="006C5152">
        <w:t xml:space="preserve"> dans des situations singulières</w:t>
      </w:r>
      <w:r w:rsidR="00B300A8">
        <w:t xml:space="preserve"> et uniques</w:t>
      </w:r>
      <w:r w:rsidR="006C5152">
        <w:t xml:space="preserve"> (</w:t>
      </w:r>
      <w:r w:rsidR="006C5152" w:rsidRPr="00DB43E1">
        <w:rPr>
          <w:bCs/>
          <w:lang w:val="fr-CH"/>
        </w:rPr>
        <w:t>Pellanda Dieci, Weiss &amp; Monnier, 2012</w:t>
      </w:r>
      <w:r w:rsidR="00121C91">
        <w:rPr>
          <w:bCs/>
          <w:lang w:val="fr-CH"/>
        </w:rPr>
        <w:t> ;</w:t>
      </w:r>
      <w:r w:rsidR="00121C91" w:rsidRPr="00121C91">
        <w:t xml:space="preserve"> </w:t>
      </w:r>
      <w:r w:rsidR="00121C91">
        <w:t xml:space="preserve">Monnier </w:t>
      </w:r>
      <w:r w:rsidR="00D778C6">
        <w:t xml:space="preserve">&amp; </w:t>
      </w:r>
      <w:r w:rsidR="00121C91">
        <w:t>Weiss, accepté pour publication</w:t>
      </w:r>
      <w:r w:rsidR="006C5152" w:rsidRPr="00DB43E1">
        <w:rPr>
          <w:bCs/>
          <w:lang w:val="fr-CH"/>
        </w:rPr>
        <w:t>)</w:t>
      </w:r>
      <w:r w:rsidR="00D778C6">
        <w:rPr>
          <w:bCs/>
          <w:lang w:val="fr-CH"/>
        </w:rPr>
        <w:t>.</w:t>
      </w:r>
      <w:r w:rsidR="005121A4">
        <w:t xml:space="preserve"> </w:t>
      </w:r>
    </w:p>
    <w:p w14:paraId="0965829F" w14:textId="21612646" w:rsidR="00636035" w:rsidRDefault="00636035" w:rsidP="00636035">
      <w:r>
        <w:t xml:space="preserve">Dans cette contribution, nous </w:t>
      </w:r>
      <w:r w:rsidR="00C912E5">
        <w:t>mettons</w:t>
      </w:r>
      <w:r w:rsidR="00231960">
        <w:t xml:space="preserve"> en lumière</w:t>
      </w:r>
      <w:r>
        <w:t xml:space="preserve"> les préoccupations </w:t>
      </w:r>
      <w:r w:rsidR="00231960">
        <w:t xml:space="preserve">des étudiants </w:t>
      </w:r>
      <w:r w:rsidR="00C912E5">
        <w:t>concernant</w:t>
      </w:r>
      <w:r w:rsidR="000F27B7">
        <w:t xml:space="preserve"> les questions d’éthique et de déontologie professionnelles</w:t>
      </w:r>
      <w:r w:rsidR="000A3ED2">
        <w:t xml:space="preserve"> (</w:t>
      </w:r>
      <w:proofErr w:type="spellStart"/>
      <w:r w:rsidR="000F27B7">
        <w:t>Prairat</w:t>
      </w:r>
      <w:proofErr w:type="spellEnd"/>
      <w:r w:rsidR="000F27B7">
        <w:t>, 2009)</w:t>
      </w:r>
      <w:r w:rsidR="00231960">
        <w:t xml:space="preserve">. </w:t>
      </w:r>
      <w:r w:rsidR="009704F4">
        <w:t>Nos questions de recherche</w:t>
      </w:r>
      <w:r>
        <w:t xml:space="preserve"> sont</w:t>
      </w:r>
      <w:r w:rsidR="00C912E5">
        <w:t xml:space="preserve"> </w:t>
      </w:r>
      <w:r>
        <w:t>:</w:t>
      </w:r>
    </w:p>
    <w:p w14:paraId="1650CA02" w14:textId="2CEB5220" w:rsidR="00636035" w:rsidRPr="00C364B9" w:rsidRDefault="00636035" w:rsidP="000F27B7">
      <w:pPr>
        <w:pStyle w:val="Paragraphedeliste"/>
        <w:numPr>
          <w:ilvl w:val="0"/>
          <w:numId w:val="1"/>
        </w:numPr>
      </w:pPr>
      <w:r w:rsidRPr="00C364B9">
        <w:t xml:space="preserve">Quelles thématiques </w:t>
      </w:r>
      <w:r w:rsidR="000F27B7">
        <w:t xml:space="preserve">en lien avec l’éthique et la déontologie </w:t>
      </w:r>
      <w:r w:rsidR="009704F4">
        <w:t>préoccupent les étudiants</w:t>
      </w:r>
      <w:r w:rsidR="000F27B7">
        <w:t xml:space="preserve"> </w:t>
      </w:r>
      <w:r w:rsidRPr="00C364B9">
        <w:t>?</w:t>
      </w:r>
    </w:p>
    <w:p w14:paraId="346263B4" w14:textId="3C50458B" w:rsidR="00636035" w:rsidRDefault="00636035" w:rsidP="00636035">
      <w:pPr>
        <w:pStyle w:val="Paragraphedeliste"/>
        <w:numPr>
          <w:ilvl w:val="0"/>
          <w:numId w:val="1"/>
        </w:numPr>
      </w:pPr>
      <w:r w:rsidRPr="00C364B9">
        <w:t>Quels savoirs</w:t>
      </w:r>
      <w:r>
        <w:t xml:space="preserve"> </w:t>
      </w:r>
      <w:r w:rsidR="00AE1273">
        <w:t xml:space="preserve">professionnels </w:t>
      </w:r>
      <w:r w:rsidR="00C912E5">
        <w:t xml:space="preserve">sont </w:t>
      </w:r>
      <w:r w:rsidR="009704F4">
        <w:t xml:space="preserve">mis en jeu </w:t>
      </w:r>
      <w:r w:rsidR="00AE1273">
        <w:t xml:space="preserve">ou </w:t>
      </w:r>
      <w:r w:rsidR="000A3ED2">
        <w:t xml:space="preserve">absents </w:t>
      </w:r>
      <w:r w:rsidR="009704F4">
        <w:t>dans ces narrations</w:t>
      </w:r>
      <w:r w:rsidRPr="00C364B9">
        <w:t xml:space="preserve">? </w:t>
      </w:r>
    </w:p>
    <w:p w14:paraId="3D97B3FA" w14:textId="14401727" w:rsidR="0016139A" w:rsidRPr="00A5476E" w:rsidRDefault="00C912E5" w:rsidP="00636035">
      <w:pPr>
        <w:pStyle w:val="Paragraphedeliste"/>
        <w:numPr>
          <w:ilvl w:val="0"/>
          <w:numId w:val="1"/>
        </w:numPr>
      </w:pPr>
      <w:r>
        <w:t>D</w:t>
      </w:r>
      <w:r w:rsidR="0016139A">
        <w:t xml:space="preserve">ans quelle mesure la rédaction </w:t>
      </w:r>
      <w:r>
        <w:t xml:space="preserve">et l’analyse </w:t>
      </w:r>
      <w:r w:rsidR="0016139A">
        <w:t>de cas favorisent des compétences de réflexivité, participant de fait à la professionnalisation du métier ?</w:t>
      </w:r>
    </w:p>
    <w:p w14:paraId="7FE05183" w14:textId="79C4EA63" w:rsidR="008E26A9" w:rsidRPr="00377B6E" w:rsidRDefault="0016139A" w:rsidP="00636035">
      <w:pPr>
        <w:rPr>
          <w:strike/>
          <w:color w:val="FF0000"/>
        </w:rPr>
      </w:pPr>
      <w:r>
        <w:t xml:space="preserve">Pour répondre à ces questions, nous recueillons </w:t>
      </w:r>
      <w:r w:rsidR="00DB43E1">
        <w:t xml:space="preserve">les cas rédigés </w:t>
      </w:r>
      <w:r>
        <w:t>par les étudiants</w:t>
      </w:r>
      <w:r w:rsidR="0092742B">
        <w:t>.</w:t>
      </w:r>
      <w:r w:rsidR="00377B6E">
        <w:rPr>
          <w:color w:val="FF0000"/>
        </w:rPr>
        <w:t xml:space="preserve"> </w:t>
      </w:r>
      <w:r w:rsidR="00AE1273">
        <w:t xml:space="preserve">Ces documents « suscités et recueillis » (Van der Maren, 1999) sont analysés à l’aide d’une grille d’items élaborée </w:t>
      </w:r>
      <w:r w:rsidR="00AE1273" w:rsidRPr="00DB43E1">
        <w:rPr>
          <w:i/>
        </w:rPr>
        <w:t>a priori</w:t>
      </w:r>
      <w:r w:rsidR="00AE1273">
        <w:t xml:space="preserve"> et réajustée </w:t>
      </w:r>
      <w:r w:rsidR="005121A4">
        <w:t>en cours d’analyse</w:t>
      </w:r>
      <w:r w:rsidR="00AE1273">
        <w:t xml:space="preserve"> </w:t>
      </w:r>
      <w:r w:rsidR="005121A4">
        <w:t>qui permet une catégorisation d</w:t>
      </w:r>
      <w:r w:rsidR="00680AB9">
        <w:t xml:space="preserve">es </w:t>
      </w:r>
      <w:r w:rsidR="005121A4">
        <w:t xml:space="preserve">principaux </w:t>
      </w:r>
      <w:r w:rsidR="00680AB9">
        <w:t>thèmes</w:t>
      </w:r>
      <w:r w:rsidR="005121A4">
        <w:t>, des acteurs impliqués et d</w:t>
      </w:r>
      <w:r w:rsidR="00680AB9">
        <w:t>es disciplines représentées</w:t>
      </w:r>
      <w:r w:rsidR="00DB43E1">
        <w:t>.</w:t>
      </w:r>
      <w:r w:rsidR="00A53CB9">
        <w:t xml:space="preserve"> </w:t>
      </w:r>
      <w:r w:rsidR="008E26A9">
        <w:t xml:space="preserve">Les premiers résultats montrent </w:t>
      </w:r>
      <w:r w:rsidR="00680AB9">
        <w:t xml:space="preserve">que les dilemmes éthiques concernent </w:t>
      </w:r>
      <w:r w:rsidR="0092742B">
        <w:t>surtout</w:t>
      </w:r>
      <w:r w:rsidR="00680AB9">
        <w:t xml:space="preserve"> des problèmes</w:t>
      </w:r>
      <w:r w:rsidR="00DB43E1">
        <w:t xml:space="preserve"> d’équité</w:t>
      </w:r>
      <w:r w:rsidR="00D521CB">
        <w:t>,</w:t>
      </w:r>
      <w:r w:rsidR="00680AB9">
        <w:t xml:space="preserve"> de </w:t>
      </w:r>
      <w:r w:rsidR="00680AB9" w:rsidRPr="00D521CB">
        <w:t>collégialité</w:t>
      </w:r>
      <w:r w:rsidR="00D521CB" w:rsidRPr="00D521CB">
        <w:t xml:space="preserve"> ou encore d’autorité</w:t>
      </w:r>
      <w:r w:rsidR="00912713" w:rsidRPr="00D521CB">
        <w:t>.</w:t>
      </w:r>
      <w:r w:rsidR="005121A4" w:rsidRPr="005121A4">
        <w:t xml:space="preserve"> </w:t>
      </w:r>
      <w:r w:rsidR="00912713">
        <w:t>L</w:t>
      </w:r>
      <w:r w:rsidR="005121A4">
        <w:t xml:space="preserve">es savoirs à enseigner </w:t>
      </w:r>
      <w:r w:rsidR="00DB43E1">
        <w:t xml:space="preserve">sont présents dans des thématiques comme le respect du programme, ou </w:t>
      </w:r>
      <w:r w:rsidR="0092742B">
        <w:t xml:space="preserve">la </w:t>
      </w:r>
      <w:r w:rsidR="005121A4">
        <w:t>dévolution du savoir. Enfin, le</w:t>
      </w:r>
      <w:r w:rsidR="00DB43E1">
        <w:t xml:space="preserve"> rôle et le statut </w:t>
      </w:r>
      <w:r w:rsidR="00912713">
        <w:t>des savoirs à enseigner dans les</w:t>
      </w:r>
      <w:r w:rsidR="00DB43E1">
        <w:t xml:space="preserve"> narration</w:t>
      </w:r>
      <w:r w:rsidR="00912713">
        <w:t xml:space="preserve">s </w:t>
      </w:r>
      <w:r w:rsidR="00D521CB">
        <w:t xml:space="preserve">qui portent sur des questions d’éthique et de déontologie professionnelles </w:t>
      </w:r>
      <w:r w:rsidR="00DB43E1">
        <w:t>n</w:t>
      </w:r>
      <w:r w:rsidR="00D521CB">
        <w:t>e sont</w:t>
      </w:r>
      <w:r w:rsidR="00DB43E1">
        <w:t xml:space="preserve"> p</w:t>
      </w:r>
      <w:r w:rsidR="00912713">
        <w:t>as le</w:t>
      </w:r>
      <w:r w:rsidR="00D521CB">
        <w:t>s</w:t>
      </w:r>
      <w:r w:rsidR="00DB43E1">
        <w:t xml:space="preserve"> même</w:t>
      </w:r>
      <w:r w:rsidR="00D521CB">
        <w:t>s</w:t>
      </w:r>
      <w:r w:rsidR="00DB43E1">
        <w:t xml:space="preserve"> </w:t>
      </w:r>
      <w:r w:rsidR="00912713">
        <w:t>selon les</w:t>
      </w:r>
      <w:r w:rsidR="00680AB9">
        <w:t xml:space="preserve"> disciplines</w:t>
      </w:r>
      <w:r w:rsidR="0092742B">
        <w:t>,</w:t>
      </w:r>
      <w:r w:rsidR="00DB43E1">
        <w:t xml:space="preserve"> certaines (</w:t>
      </w:r>
      <w:r w:rsidR="00D521CB">
        <w:t>biologie</w:t>
      </w:r>
      <w:r w:rsidR="0092742B">
        <w:t xml:space="preserve">, </w:t>
      </w:r>
      <w:r w:rsidR="00DB43E1">
        <w:t>philosophie) pouvant être considérées comme des disciplines à haut potentiel éthique</w:t>
      </w:r>
      <w:r w:rsidR="00D778C6">
        <w:t>.</w:t>
      </w:r>
      <w:r w:rsidR="00680AB9">
        <w:t xml:space="preserve"> </w:t>
      </w:r>
    </w:p>
    <w:p w14:paraId="5BA40AAB" w14:textId="77777777" w:rsidR="00636035" w:rsidRPr="00A5476E" w:rsidRDefault="00636035" w:rsidP="00636035">
      <w:pPr>
        <w:rPr>
          <w:u w:val="single"/>
        </w:rPr>
      </w:pPr>
      <w:r w:rsidRPr="00A5476E">
        <w:rPr>
          <w:u w:val="single"/>
        </w:rPr>
        <w:t xml:space="preserve">Références </w:t>
      </w:r>
    </w:p>
    <w:p w14:paraId="3F3A3A88" w14:textId="77777777" w:rsidR="00636035" w:rsidRPr="00BF784A" w:rsidRDefault="00636035" w:rsidP="00636035">
      <w:pPr>
        <w:rPr>
          <w:rFonts w:cs="Arial"/>
        </w:rPr>
      </w:pPr>
      <w:r w:rsidRPr="00BF784A">
        <w:rPr>
          <w:rFonts w:cs="Verdana"/>
        </w:rPr>
        <w:t>Malet</w:t>
      </w:r>
      <w:r>
        <w:rPr>
          <w:rFonts w:cs="Verdana"/>
        </w:rPr>
        <w:t>,</w:t>
      </w:r>
      <w:r w:rsidRPr="00BF784A">
        <w:rPr>
          <w:rFonts w:cs="Verdana"/>
        </w:rPr>
        <w:t xml:space="preserve"> R. </w:t>
      </w:r>
      <w:r>
        <w:rPr>
          <w:rFonts w:cs="Verdana"/>
        </w:rPr>
        <w:t xml:space="preserve">(2000). </w:t>
      </w:r>
      <w:r w:rsidRPr="00BF784A">
        <w:rPr>
          <w:rFonts w:cs="Verdana"/>
        </w:rPr>
        <w:t xml:space="preserve">Savoir incarné, savoir narratif. Recherche phénoménologique et formation de l'enseignant-sujet. </w:t>
      </w:r>
      <w:r w:rsidRPr="00BF784A">
        <w:rPr>
          <w:rFonts w:cs="Verdana"/>
          <w:i/>
          <w:iCs/>
        </w:rPr>
        <w:t>Revue française de pédagogie</w:t>
      </w:r>
      <w:r w:rsidRPr="00BF784A">
        <w:rPr>
          <w:rFonts w:cs="Verdana"/>
        </w:rPr>
        <w:t xml:space="preserve">. </w:t>
      </w:r>
      <w:r w:rsidRPr="00636035">
        <w:rPr>
          <w:rFonts w:cs="Verdana"/>
          <w:i/>
        </w:rPr>
        <w:t>Vol. 132</w:t>
      </w:r>
      <w:r>
        <w:rPr>
          <w:rFonts w:cs="Verdana"/>
        </w:rPr>
        <w:t>,</w:t>
      </w:r>
      <w:r w:rsidRPr="00BF784A">
        <w:rPr>
          <w:rFonts w:cs="Verdana"/>
        </w:rPr>
        <w:t xml:space="preserve"> 43-53.</w:t>
      </w:r>
    </w:p>
    <w:p w14:paraId="37E44946" w14:textId="77777777" w:rsidR="005F1985" w:rsidRPr="00CF65CC" w:rsidRDefault="005F1985" w:rsidP="005F1985">
      <w:pPr>
        <w:rPr>
          <w:caps/>
        </w:rPr>
      </w:pPr>
      <w:r>
        <w:rPr>
          <w:rFonts w:cs="Arial"/>
        </w:rPr>
        <w:t>Monnier, A. &amp; Weiss, L. (accepté pour publication). Contrat didactique différentiel et gestes professionnels d’enseignants débutant dans la mise en œuvre de cercles de lecture en ECG</w:t>
      </w:r>
      <w:r>
        <w:rPr>
          <w:b/>
          <w:bCs/>
          <w:smallCaps/>
          <w:sz w:val="22"/>
          <w:szCs w:val="22"/>
        </w:rPr>
        <w:t xml:space="preserve">. </w:t>
      </w:r>
      <w:r>
        <w:rPr>
          <w:bCs/>
          <w:i/>
          <w:lang w:val="fr-CH"/>
        </w:rPr>
        <w:t xml:space="preserve">In </w:t>
      </w:r>
      <w:r>
        <w:rPr>
          <w:bCs/>
          <w:lang w:val="fr-CH"/>
        </w:rPr>
        <w:t xml:space="preserve">F. Leutenneger et F. Ligozat (coord.). </w:t>
      </w:r>
      <w:r w:rsidR="00967F42" w:rsidRPr="00967F42">
        <w:rPr>
          <w:rFonts w:cs="Verdana"/>
          <w:i/>
        </w:rPr>
        <w:t>L'exercice comparatiste en didactiques</w:t>
      </w:r>
      <w:r w:rsidR="00967F42">
        <w:rPr>
          <w:rFonts w:cs="Verdana"/>
          <w:i/>
        </w:rPr>
        <w:t xml:space="preserve">. </w:t>
      </w:r>
    </w:p>
    <w:p w14:paraId="4BDBE26A" w14:textId="77777777" w:rsidR="00117EDD" w:rsidRDefault="00117EDD" w:rsidP="00117EDD">
      <w:pPr>
        <w:rPr>
          <w:bCs/>
          <w:lang w:val="fr-CH"/>
        </w:rPr>
      </w:pPr>
      <w:r w:rsidRPr="00FD74F9">
        <w:rPr>
          <w:bCs/>
          <w:lang w:val="it-IT"/>
        </w:rPr>
        <w:lastRenderedPageBreak/>
        <w:t xml:space="preserve">Pellanda Dieci, S., Weiss, L. &amp; Monnier, A. (2012). </w:t>
      </w:r>
      <w:r w:rsidRPr="00117EDD">
        <w:rPr>
          <w:bCs/>
          <w:lang w:val="fr-CH"/>
        </w:rPr>
        <w:t xml:space="preserve">Analyse contrastée des attentes et des représentations d’étudiants en formation initiale à l’enseignement secondaire en fonction de leur engagement ou non dans un établissement scolaire. </w:t>
      </w:r>
      <w:r w:rsidRPr="00117EDD">
        <w:rPr>
          <w:bCs/>
          <w:i/>
          <w:lang w:val="fr-CH"/>
        </w:rPr>
        <w:t>Phronesis, Vol. 1, n°2</w:t>
      </w:r>
      <w:r w:rsidRPr="00117EDD">
        <w:rPr>
          <w:bCs/>
          <w:lang w:val="fr-CH"/>
        </w:rPr>
        <w:t>, 63-81.</w:t>
      </w:r>
    </w:p>
    <w:p w14:paraId="4D89CA22" w14:textId="77777777" w:rsidR="00AE1273" w:rsidRPr="00AE1273" w:rsidRDefault="00AE1273" w:rsidP="00117EDD">
      <w:r w:rsidRPr="00C912E5">
        <w:rPr>
          <w:lang w:val="fr-CH"/>
        </w:rPr>
        <w:t xml:space="preserve">Van der Maren, J.-M. (1999). </w:t>
      </w:r>
      <w:r w:rsidRPr="00AE1273">
        <w:rPr>
          <w:i/>
        </w:rPr>
        <w:t>La recherche appliquée en pédagogie</w:t>
      </w:r>
      <w:r>
        <w:t xml:space="preserve">. Bruxelles : De Boeck Université. </w:t>
      </w:r>
      <w:r w:rsidRPr="00AE1273">
        <w:t xml:space="preserve"> </w:t>
      </w:r>
    </w:p>
    <w:p w14:paraId="3A1C5B16" w14:textId="77777777" w:rsidR="00604101" w:rsidRDefault="00604101"/>
    <w:sectPr w:rsidR="00604101" w:rsidSect="006A7D1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F1030"/>
    <w:multiLevelType w:val="hybridMultilevel"/>
    <w:tmpl w:val="7FF20930"/>
    <w:lvl w:ilvl="0" w:tplc="E5267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8F3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6F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084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48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EE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E27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6E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4EBF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86DD0"/>
    <w:multiLevelType w:val="hybridMultilevel"/>
    <w:tmpl w:val="1C5C4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A40C0"/>
    <w:multiLevelType w:val="hybridMultilevel"/>
    <w:tmpl w:val="E3887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C0DFE"/>
    <w:multiLevelType w:val="hybridMultilevel"/>
    <w:tmpl w:val="FF96B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35"/>
    <w:rsid w:val="000345E9"/>
    <w:rsid w:val="000A3ED2"/>
    <w:rsid w:val="000C031F"/>
    <w:rsid w:val="000D26EA"/>
    <w:rsid w:val="000F27B7"/>
    <w:rsid w:val="00100BF0"/>
    <w:rsid w:val="00117EDD"/>
    <w:rsid w:val="00121C91"/>
    <w:rsid w:val="0016139A"/>
    <w:rsid w:val="00231960"/>
    <w:rsid w:val="00277749"/>
    <w:rsid w:val="002D78F4"/>
    <w:rsid w:val="00300D9E"/>
    <w:rsid w:val="00336080"/>
    <w:rsid w:val="00377B6E"/>
    <w:rsid w:val="003A3A40"/>
    <w:rsid w:val="003C5AFB"/>
    <w:rsid w:val="003E00E3"/>
    <w:rsid w:val="00415E88"/>
    <w:rsid w:val="0047127E"/>
    <w:rsid w:val="004E0A6F"/>
    <w:rsid w:val="00511F30"/>
    <w:rsid w:val="005121A4"/>
    <w:rsid w:val="005F1985"/>
    <w:rsid w:val="00604101"/>
    <w:rsid w:val="00620B71"/>
    <w:rsid w:val="00636035"/>
    <w:rsid w:val="0066609C"/>
    <w:rsid w:val="00680AB9"/>
    <w:rsid w:val="006A7D15"/>
    <w:rsid w:val="006C5152"/>
    <w:rsid w:val="00735C80"/>
    <w:rsid w:val="007B1A68"/>
    <w:rsid w:val="007C2FEA"/>
    <w:rsid w:val="008A1079"/>
    <w:rsid w:val="008A6C61"/>
    <w:rsid w:val="008B741C"/>
    <w:rsid w:val="008E26A9"/>
    <w:rsid w:val="009078E6"/>
    <w:rsid w:val="00912713"/>
    <w:rsid w:val="0092742B"/>
    <w:rsid w:val="009511D3"/>
    <w:rsid w:val="00967F42"/>
    <w:rsid w:val="009704F4"/>
    <w:rsid w:val="009B7042"/>
    <w:rsid w:val="00A53CB9"/>
    <w:rsid w:val="00AD42FC"/>
    <w:rsid w:val="00AE1273"/>
    <w:rsid w:val="00B300A8"/>
    <w:rsid w:val="00B31B68"/>
    <w:rsid w:val="00B3799A"/>
    <w:rsid w:val="00B60493"/>
    <w:rsid w:val="00B85CE9"/>
    <w:rsid w:val="00C912E5"/>
    <w:rsid w:val="00CC6FA7"/>
    <w:rsid w:val="00CF65CC"/>
    <w:rsid w:val="00D30480"/>
    <w:rsid w:val="00D32B86"/>
    <w:rsid w:val="00D521CB"/>
    <w:rsid w:val="00D778C6"/>
    <w:rsid w:val="00D9565C"/>
    <w:rsid w:val="00DB43E1"/>
    <w:rsid w:val="00F026DC"/>
    <w:rsid w:val="00FD74F9"/>
    <w:rsid w:val="00FE1B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717E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035"/>
  </w:style>
  <w:style w:type="paragraph" w:styleId="Titre1">
    <w:name w:val="heading 1"/>
    <w:basedOn w:val="Normal"/>
    <w:next w:val="Normal"/>
    <w:link w:val="Titre1Car"/>
    <w:qFormat/>
    <w:rsid w:val="003A3A40"/>
    <w:pPr>
      <w:keepNext/>
      <w:keepLines/>
      <w:spacing w:before="480" w:line="276" w:lineRule="auto"/>
      <w:jc w:val="center"/>
      <w:outlineLvl w:val="0"/>
    </w:pPr>
    <w:rPr>
      <w:rFonts w:ascii="Garamond" w:eastAsia="PMingLiU" w:hAnsi="Garamond" w:cs="Times New Roman"/>
      <w:b/>
      <w:bCs/>
      <w:sz w:val="36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1F3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F30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3A3A40"/>
    <w:rPr>
      <w:rFonts w:ascii="Garamond" w:eastAsia="PMingLiU" w:hAnsi="Garamond" w:cs="Times New Roman"/>
      <w:b/>
      <w:bCs/>
      <w:sz w:val="36"/>
      <w:szCs w:val="32"/>
      <w:lang w:eastAsia="en-US"/>
    </w:rPr>
  </w:style>
  <w:style w:type="paragraph" w:styleId="Paragraphedeliste">
    <w:name w:val="List Paragraph"/>
    <w:basedOn w:val="Normal"/>
    <w:uiPriority w:val="34"/>
    <w:qFormat/>
    <w:rsid w:val="00636035"/>
    <w:pPr>
      <w:ind w:left="720"/>
      <w:contextualSpacing/>
    </w:pPr>
  </w:style>
  <w:style w:type="character" w:styleId="Lienhypertexte">
    <w:name w:val="Hyperlink"/>
    <w:semiHidden/>
    <w:rsid w:val="00636035"/>
    <w:rPr>
      <w:color w:val="0000FF"/>
      <w:u w:val="single"/>
    </w:rPr>
  </w:style>
  <w:style w:type="paragraph" w:customStyle="1" w:styleId="Auteur1">
    <w:name w:val="Auteur 1"/>
    <w:basedOn w:val="Normal"/>
    <w:link w:val="Auteur1Car"/>
    <w:qFormat/>
    <w:rsid w:val="00636035"/>
    <w:pPr>
      <w:spacing w:before="120" w:after="120"/>
      <w:contextualSpacing/>
    </w:pPr>
    <w:rPr>
      <w:rFonts w:ascii="Times New Roman" w:eastAsia="Times New Roman" w:hAnsi="Times New Roman" w:cs="Times New Roman"/>
      <w:color w:val="000000"/>
      <w:sz w:val="32"/>
      <w:szCs w:val="20"/>
      <w:lang w:val="it-IT" w:eastAsia="fr-FR"/>
    </w:rPr>
  </w:style>
  <w:style w:type="character" w:customStyle="1" w:styleId="Auteur1Car">
    <w:name w:val="Auteur 1 Car"/>
    <w:link w:val="Auteur1"/>
    <w:rsid w:val="00636035"/>
    <w:rPr>
      <w:rFonts w:ascii="Times New Roman" w:eastAsia="Times New Roman" w:hAnsi="Times New Roman" w:cs="Times New Roman"/>
      <w:color w:val="000000"/>
      <w:sz w:val="32"/>
      <w:szCs w:val="20"/>
      <w:lang w:val="it-IT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777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035"/>
  </w:style>
  <w:style w:type="paragraph" w:styleId="Titre1">
    <w:name w:val="heading 1"/>
    <w:basedOn w:val="Normal"/>
    <w:next w:val="Normal"/>
    <w:link w:val="Titre1Car"/>
    <w:qFormat/>
    <w:rsid w:val="003A3A40"/>
    <w:pPr>
      <w:keepNext/>
      <w:keepLines/>
      <w:spacing w:before="480" w:line="276" w:lineRule="auto"/>
      <w:jc w:val="center"/>
      <w:outlineLvl w:val="0"/>
    </w:pPr>
    <w:rPr>
      <w:rFonts w:ascii="Garamond" w:eastAsia="PMingLiU" w:hAnsi="Garamond" w:cs="Times New Roman"/>
      <w:b/>
      <w:bCs/>
      <w:sz w:val="36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1F3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F30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3A3A40"/>
    <w:rPr>
      <w:rFonts w:ascii="Garamond" w:eastAsia="PMingLiU" w:hAnsi="Garamond" w:cs="Times New Roman"/>
      <w:b/>
      <w:bCs/>
      <w:sz w:val="36"/>
      <w:szCs w:val="32"/>
      <w:lang w:eastAsia="en-US"/>
    </w:rPr>
  </w:style>
  <w:style w:type="paragraph" w:styleId="Paragraphedeliste">
    <w:name w:val="List Paragraph"/>
    <w:basedOn w:val="Normal"/>
    <w:uiPriority w:val="34"/>
    <w:qFormat/>
    <w:rsid w:val="00636035"/>
    <w:pPr>
      <w:ind w:left="720"/>
      <w:contextualSpacing/>
    </w:pPr>
  </w:style>
  <w:style w:type="character" w:styleId="Lienhypertexte">
    <w:name w:val="Hyperlink"/>
    <w:semiHidden/>
    <w:rsid w:val="00636035"/>
    <w:rPr>
      <w:color w:val="0000FF"/>
      <w:u w:val="single"/>
    </w:rPr>
  </w:style>
  <w:style w:type="paragraph" w:customStyle="1" w:styleId="Auteur1">
    <w:name w:val="Auteur 1"/>
    <w:basedOn w:val="Normal"/>
    <w:link w:val="Auteur1Car"/>
    <w:qFormat/>
    <w:rsid w:val="00636035"/>
    <w:pPr>
      <w:spacing w:before="120" w:after="120"/>
      <w:contextualSpacing/>
    </w:pPr>
    <w:rPr>
      <w:rFonts w:ascii="Times New Roman" w:eastAsia="Times New Roman" w:hAnsi="Times New Roman" w:cs="Times New Roman"/>
      <w:color w:val="000000"/>
      <w:sz w:val="32"/>
      <w:szCs w:val="20"/>
      <w:lang w:val="it-IT" w:eastAsia="fr-FR"/>
    </w:rPr>
  </w:style>
  <w:style w:type="character" w:customStyle="1" w:styleId="Auteur1Car">
    <w:name w:val="Auteur 1 Car"/>
    <w:link w:val="Auteur1"/>
    <w:rsid w:val="00636035"/>
    <w:rPr>
      <w:rFonts w:ascii="Times New Roman" w:eastAsia="Times New Roman" w:hAnsi="Times New Roman" w:cs="Times New Roman"/>
      <w:color w:val="000000"/>
      <w:sz w:val="32"/>
      <w:szCs w:val="20"/>
      <w:lang w:val="it-IT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777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1747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437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913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43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IUFE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Monnier</dc:creator>
  <cp:keywords/>
  <dc:description/>
  <cp:lastModifiedBy>WEISS Laura</cp:lastModifiedBy>
  <cp:revision>3</cp:revision>
  <cp:lastPrinted>2015-09-09T08:53:00Z</cp:lastPrinted>
  <dcterms:created xsi:type="dcterms:W3CDTF">2015-09-18T09:26:00Z</dcterms:created>
  <dcterms:modified xsi:type="dcterms:W3CDTF">2015-09-18T09:26:00Z</dcterms:modified>
</cp:coreProperties>
</file>